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8FC7A" w14:textId="25D9322D" w:rsidR="00244206" w:rsidRPr="0093454C" w:rsidRDefault="00244206" w:rsidP="00C93588">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C91560">
        <w:rPr>
          <w:b/>
          <w:noProof/>
          <w:sz w:val="24"/>
        </w:rPr>
        <w:t>7</w:t>
      </w:r>
      <w:r w:rsidRPr="0093454C">
        <w:rPr>
          <w:b/>
          <w:noProof/>
          <w:sz w:val="24"/>
        </w:rPr>
        <w:tab/>
      </w:r>
      <w:bookmarkStart w:id="1" w:name="OLE_LINK417"/>
      <w:bookmarkStart w:id="2" w:name="OLE_LINK418"/>
      <w:r w:rsidR="00CC7F15" w:rsidRPr="00CC7F15">
        <w:rPr>
          <w:b/>
          <w:noProof/>
          <w:sz w:val="24"/>
        </w:rPr>
        <w:t>R2-2406933</w:t>
      </w:r>
    </w:p>
    <w:bookmarkEnd w:id="1"/>
    <w:bookmarkEnd w:id="2"/>
    <w:p w14:paraId="3DEA82A0" w14:textId="472F2768" w:rsidR="001A6150" w:rsidRPr="0062079E" w:rsidRDefault="00C91560" w:rsidP="00557F1D">
      <w:pPr>
        <w:pStyle w:val="Header"/>
        <w:spacing w:after="100" w:afterAutospacing="1"/>
        <w:rPr>
          <w:rFonts w:eastAsia="MS Mincho"/>
          <w:sz w:val="24"/>
          <w:lang w:val="fr-CA"/>
        </w:rPr>
      </w:pPr>
      <w:r>
        <w:rPr>
          <w:rFonts w:eastAsia="MS Mincho"/>
          <w:sz w:val="24"/>
          <w:lang w:val="fr-CA"/>
        </w:rPr>
        <w:t>Maastricht</w:t>
      </w:r>
      <w:r w:rsidR="006C4409">
        <w:rPr>
          <w:rFonts w:eastAsia="MS Mincho"/>
          <w:sz w:val="24"/>
          <w:lang w:val="fr-CA"/>
        </w:rPr>
        <w:t xml:space="preserve">, </w:t>
      </w:r>
      <w:r>
        <w:rPr>
          <w:rFonts w:eastAsia="MS Mincho"/>
          <w:sz w:val="24"/>
          <w:lang w:val="fr-CA"/>
        </w:rPr>
        <w:t>The Netherlands</w:t>
      </w:r>
      <w:r w:rsidR="003902B2" w:rsidRPr="0062079E">
        <w:rPr>
          <w:rFonts w:eastAsia="MS Mincho"/>
          <w:sz w:val="24"/>
          <w:lang w:val="fr-CA"/>
        </w:rPr>
        <w:t xml:space="preserve">, </w:t>
      </w:r>
      <w:r>
        <w:rPr>
          <w:rFonts w:eastAsia="MS Mincho"/>
          <w:sz w:val="24"/>
          <w:lang w:val="fr-CA"/>
        </w:rPr>
        <w:t>19</w:t>
      </w:r>
      <w:r w:rsidR="00557F1D">
        <w:rPr>
          <w:rFonts w:eastAsia="MS Mincho"/>
          <w:sz w:val="24"/>
          <w:vertAlign w:val="superscript"/>
          <w:lang w:val="fr-CA"/>
        </w:rPr>
        <w:t xml:space="preserve"> </w:t>
      </w:r>
      <w:r w:rsidR="00BF56BD">
        <w:rPr>
          <w:rFonts w:eastAsia="MS Mincho"/>
          <w:sz w:val="24"/>
          <w:lang w:val="fr-CA"/>
        </w:rPr>
        <w:t>–</w:t>
      </w:r>
      <w:r w:rsidR="00132054">
        <w:rPr>
          <w:rFonts w:eastAsia="MS Mincho"/>
          <w:sz w:val="24"/>
          <w:lang w:val="fr-CA"/>
        </w:rPr>
        <w:t xml:space="preserve"> </w:t>
      </w:r>
      <w:r w:rsidR="005B419B">
        <w:rPr>
          <w:rFonts w:eastAsia="MS Mincho"/>
          <w:sz w:val="24"/>
          <w:lang w:val="fr-CA"/>
        </w:rPr>
        <w:t>2</w:t>
      </w:r>
      <w:r>
        <w:rPr>
          <w:rFonts w:eastAsia="MS Mincho"/>
          <w:sz w:val="24"/>
          <w:lang w:val="fr-CA"/>
        </w:rPr>
        <w:t>3</w:t>
      </w:r>
      <w:r w:rsidR="00BF56BD">
        <w:rPr>
          <w:rFonts w:eastAsia="MS Mincho"/>
          <w:sz w:val="24"/>
          <w:lang w:val="fr-CA"/>
        </w:rPr>
        <w:t xml:space="preserve"> </w:t>
      </w:r>
      <w:r>
        <w:rPr>
          <w:rFonts w:eastAsia="MS Mincho"/>
          <w:sz w:val="24"/>
          <w:lang w:val="fr-CA"/>
        </w:rPr>
        <w:t>August</w:t>
      </w:r>
      <w:r w:rsidR="006A417B" w:rsidRPr="0062079E">
        <w:rPr>
          <w:rFonts w:eastAsia="MS Mincho"/>
          <w:sz w:val="24"/>
          <w:lang w:val="fr-CA"/>
        </w:rPr>
        <w:t>, 202</w:t>
      </w:r>
      <w:r w:rsidR="00665391">
        <w:rPr>
          <w:rFonts w:eastAsia="MS Mincho"/>
          <w:sz w:val="24"/>
          <w:lang w:val="fr-CA"/>
        </w:rPr>
        <w:t>4</w:t>
      </w:r>
    </w:p>
    <w:p w14:paraId="68A217B4" w14:textId="77777777" w:rsidR="00505E15" w:rsidRPr="0062079E" w:rsidRDefault="007B4780" w:rsidP="00C93588">
      <w:pPr>
        <w:pStyle w:val="Header"/>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13883F57" w:rsidR="00505E15" w:rsidRPr="0062079E" w:rsidRDefault="00505E15" w:rsidP="00C93588">
      <w:pPr>
        <w:tabs>
          <w:tab w:val="left" w:pos="1985"/>
        </w:tabs>
        <w:spacing w:after="100" w:afterAutospacing="1"/>
        <w:jc w:val="both"/>
        <w:rPr>
          <w:rFonts w:ascii="Arial" w:hAnsi="Arial"/>
          <w:b/>
          <w:sz w:val="24"/>
          <w:lang w:val="fr-CA"/>
        </w:rPr>
      </w:pPr>
      <w:r w:rsidRPr="0062079E">
        <w:rPr>
          <w:rFonts w:ascii="Arial" w:hAnsi="Arial"/>
          <w:b/>
          <w:sz w:val="24"/>
          <w:lang w:val="fr-CA"/>
        </w:rPr>
        <w:t>Agenda item</w:t>
      </w:r>
      <w:r w:rsidR="00F64697">
        <w:rPr>
          <w:rFonts w:ascii="Arial" w:hAnsi="Arial"/>
          <w:b/>
          <w:sz w:val="24"/>
          <w:lang w:val="fr-CA"/>
        </w:rPr>
        <w:t> </w:t>
      </w:r>
      <w:r w:rsidRPr="0062079E">
        <w:rPr>
          <w:rFonts w:ascii="Arial" w:hAnsi="Arial"/>
          <w:b/>
          <w:sz w:val="24"/>
          <w:lang w:val="fr-CA"/>
        </w:rPr>
        <w:t>:</w:t>
      </w:r>
      <w:r w:rsidRPr="0062079E">
        <w:rPr>
          <w:rFonts w:ascii="Arial" w:hAnsi="Arial"/>
          <w:b/>
          <w:sz w:val="24"/>
          <w:lang w:val="fr-CA"/>
        </w:rPr>
        <w:tab/>
      </w:r>
      <w:r w:rsidR="00713962" w:rsidRPr="00315F04">
        <w:rPr>
          <w:rFonts w:ascii="Arial" w:hAnsi="Arial"/>
          <w:b/>
          <w:sz w:val="24"/>
          <w:lang w:val="fr-CA"/>
        </w:rPr>
        <w:t>7.24.</w:t>
      </w:r>
      <w:r w:rsidR="00C91560" w:rsidRPr="00315F04">
        <w:rPr>
          <w:rFonts w:ascii="Arial" w:hAnsi="Arial"/>
          <w:b/>
          <w:sz w:val="24"/>
          <w:lang w:val="fr-CA"/>
        </w:rPr>
        <w:t>2</w:t>
      </w:r>
      <w:r w:rsidR="00444EDF" w:rsidRPr="00315F04">
        <w:rPr>
          <w:rFonts w:ascii="Arial" w:hAnsi="Arial"/>
          <w:b/>
          <w:sz w:val="24"/>
          <w:lang w:val="fr-CA"/>
        </w:rPr>
        <w:t>.1</w:t>
      </w:r>
    </w:p>
    <w:p w14:paraId="5F6BA498" w14:textId="29447375" w:rsidR="00505E15" w:rsidRPr="00C06C0E" w:rsidRDefault="00505E15" w:rsidP="00060571">
      <w:pPr>
        <w:tabs>
          <w:tab w:val="left" w:pos="1985"/>
        </w:tabs>
        <w:spacing w:after="100" w:afterAutospacing="1"/>
        <w:ind w:left="1136" w:hanging="1136"/>
        <w:jc w:val="both"/>
        <w:rPr>
          <w:rFonts w:ascii="Arial" w:hAnsi="Arial"/>
          <w:b/>
          <w:sz w:val="24"/>
        </w:rPr>
      </w:pPr>
      <w:r w:rsidRPr="00C06C0E">
        <w:rPr>
          <w:rFonts w:ascii="Arial" w:hAnsi="Arial"/>
          <w:b/>
          <w:sz w:val="24"/>
        </w:rPr>
        <w:t xml:space="preserve">Source: </w:t>
      </w:r>
      <w:r w:rsidRPr="00C06C0E">
        <w:rPr>
          <w:rFonts w:ascii="Arial" w:hAnsi="Arial"/>
          <w:b/>
          <w:sz w:val="24"/>
        </w:rPr>
        <w:tab/>
      </w:r>
      <w:r w:rsidR="00060571">
        <w:rPr>
          <w:rFonts w:ascii="Arial" w:hAnsi="Arial"/>
          <w:b/>
          <w:sz w:val="24"/>
        </w:rPr>
        <w:tab/>
      </w:r>
      <w:r w:rsidRPr="00C06C0E">
        <w:rPr>
          <w:rFonts w:ascii="Arial" w:hAnsi="Arial"/>
          <w:b/>
          <w:sz w:val="24"/>
        </w:rPr>
        <w:t>Huawei, HiSilicon</w:t>
      </w:r>
      <w:r w:rsidR="000B18DD">
        <w:rPr>
          <w:rFonts w:ascii="Arial" w:hAnsi="Arial"/>
          <w:b/>
          <w:sz w:val="24"/>
        </w:rPr>
        <w:t>, Xiaomi</w:t>
      </w:r>
      <w:r w:rsidR="00CB3F6C" w:rsidRPr="00CB3F6C">
        <w:t xml:space="preserve"> </w:t>
      </w:r>
      <w:r w:rsidR="00CB3F6C" w:rsidRPr="00CB3F6C">
        <w:rPr>
          <w:rFonts w:ascii="Arial" w:hAnsi="Arial"/>
          <w:b/>
          <w:sz w:val="24"/>
        </w:rPr>
        <w:t>Communications</w:t>
      </w:r>
      <w:r w:rsidR="005B3511">
        <w:rPr>
          <w:rFonts w:ascii="Arial" w:hAnsi="Arial"/>
          <w:b/>
          <w:sz w:val="24"/>
        </w:rPr>
        <w:t>, Ericsson</w:t>
      </w:r>
      <w:r w:rsidR="00060571">
        <w:rPr>
          <w:rFonts w:ascii="Arial" w:hAnsi="Arial"/>
          <w:b/>
          <w:sz w:val="24"/>
        </w:rPr>
        <w:t xml:space="preserve">, </w:t>
      </w:r>
      <w:r w:rsidR="00060571" w:rsidRPr="00060571">
        <w:rPr>
          <w:rFonts w:ascii="Arial" w:hAnsi="Arial"/>
          <w:b/>
          <w:sz w:val="24"/>
        </w:rPr>
        <w:t xml:space="preserve">LG </w:t>
      </w:r>
      <w:r w:rsidR="00060571">
        <w:rPr>
          <w:rFonts w:ascii="Arial" w:hAnsi="Arial"/>
          <w:b/>
          <w:sz w:val="24"/>
        </w:rPr>
        <w:tab/>
      </w:r>
      <w:r w:rsidR="00060571" w:rsidRPr="00060571">
        <w:rPr>
          <w:rFonts w:ascii="Arial" w:hAnsi="Arial"/>
          <w:b/>
          <w:sz w:val="24"/>
        </w:rPr>
        <w:t>Electronics</w:t>
      </w:r>
      <w:bookmarkStart w:id="3" w:name="_GoBack"/>
      <w:bookmarkEnd w:id="3"/>
    </w:p>
    <w:p w14:paraId="3F9633C9" w14:textId="43018B7D" w:rsidR="00505E15" w:rsidRPr="00C06C0E" w:rsidRDefault="00505E15" w:rsidP="003376E4">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C91560" w:rsidRPr="00C91560">
        <w:rPr>
          <w:rFonts w:ascii="Arial" w:hAnsi="Arial"/>
          <w:b/>
          <w:sz w:val="24"/>
        </w:rPr>
        <w:t>Cell barring depending on the UE band for 2Rx XR UE</w:t>
      </w:r>
    </w:p>
    <w:p w14:paraId="004D7453" w14:textId="4C5467C4" w:rsidR="00505E15"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p w14:paraId="5D1D96C7" w14:textId="77777777" w:rsidR="00D12C29" w:rsidRPr="00C06C0E" w:rsidRDefault="00D12C29" w:rsidP="00C93588">
      <w:pPr>
        <w:tabs>
          <w:tab w:val="left" w:pos="1985"/>
        </w:tabs>
        <w:spacing w:after="100" w:afterAutospacing="1"/>
        <w:jc w:val="both"/>
        <w:rPr>
          <w:rFonts w:ascii="Arial" w:hAnsi="Arial"/>
          <w:b/>
          <w:sz w:val="24"/>
        </w:rPr>
      </w:pPr>
    </w:p>
    <w:bookmarkEnd w:id="0"/>
    <w:p w14:paraId="36744083" w14:textId="0C42961A" w:rsidR="004234EA" w:rsidRPr="00224CEF" w:rsidRDefault="00D12C29" w:rsidP="00D12C29">
      <w:pPr>
        <w:pStyle w:val="Heading1"/>
        <w:spacing w:before="100" w:beforeAutospacing="1" w:after="100" w:afterAutospacing="1"/>
        <w:ind w:left="0" w:firstLine="0"/>
        <w:jc w:val="both"/>
        <w:rPr>
          <w:rFonts w:cs="Arial"/>
        </w:rPr>
      </w:pPr>
      <w:r>
        <w:t xml:space="preserve">1 </w:t>
      </w:r>
      <w:r w:rsidR="004234EA" w:rsidRPr="00D12C29">
        <w:t>Introduction</w:t>
      </w:r>
    </w:p>
    <w:p w14:paraId="0424C623" w14:textId="1B4853AA" w:rsidR="00753640" w:rsidRPr="00753640" w:rsidRDefault="001A2CF1" w:rsidP="001A2CF1">
      <w:pPr>
        <w:spacing w:before="100" w:beforeAutospacing="1" w:after="100" w:afterAutospacing="1"/>
        <w:jc w:val="both"/>
        <w:rPr>
          <w:color w:val="000000"/>
        </w:rPr>
      </w:pPr>
      <w:r>
        <w:rPr>
          <w:color w:val="000000"/>
        </w:rPr>
        <w:t>This paper discusses cell barring behaviour of the 2Rx XR UE. Since the UE capability of 2 Rx XR is signalled per band, it has some consequences which have been discussed during the previous two meetings with no conclusion. In general, the main goal of this paper is to clarify w</w:t>
      </w:r>
      <w:r w:rsidRPr="001A2CF1">
        <w:rPr>
          <w:color w:val="000000"/>
        </w:rPr>
        <w:t>hether it is possible that the same UE is a 2Rx XR UE in one band while being a regular UE in another band.</w:t>
      </w:r>
      <w:r>
        <w:rPr>
          <w:color w:val="000000"/>
        </w:rPr>
        <w:t xml:space="preserve"> Depending on the answer to this question, there are some actions and/or changes in RAN2 specifications needed which are discussed in the subsequent parts of the paper. </w:t>
      </w:r>
    </w:p>
    <w:p w14:paraId="45F40F38" w14:textId="40BE7294" w:rsidR="00B83061" w:rsidRDefault="00585087" w:rsidP="0046531D">
      <w:pPr>
        <w:pStyle w:val="Heading1"/>
        <w:spacing w:before="100" w:beforeAutospacing="1" w:after="100" w:afterAutospacing="1"/>
        <w:ind w:left="0" w:firstLine="0"/>
        <w:jc w:val="both"/>
      </w:pPr>
      <w:r>
        <w:t xml:space="preserve">2 </w:t>
      </w:r>
      <w:bookmarkStart w:id="4" w:name="OLE_LINK1"/>
      <w:bookmarkStart w:id="5" w:name="OLE_LINK2"/>
      <w:r w:rsidR="00585B05">
        <w:t>Discussion</w:t>
      </w:r>
    </w:p>
    <w:p w14:paraId="653E7F17" w14:textId="7CF6066C" w:rsidR="001A2CF1" w:rsidRPr="001A2CF1" w:rsidRDefault="001A2CF1" w:rsidP="001A2CF1">
      <w:pPr>
        <w:pStyle w:val="Heading2"/>
      </w:pPr>
      <w:r>
        <w:t>2.1</w:t>
      </w:r>
      <w:r>
        <w:tab/>
        <w:t xml:space="preserve">Per band </w:t>
      </w:r>
      <w:r w:rsidR="00500F7E">
        <w:t xml:space="preserve">or per UE support of </w:t>
      </w:r>
      <w:r>
        <w:t>2Rx XR UE</w:t>
      </w:r>
    </w:p>
    <w:bookmarkEnd w:id="4"/>
    <w:bookmarkEnd w:id="5"/>
    <w:p w14:paraId="65AFEC1C" w14:textId="77777777" w:rsidR="007E628C" w:rsidRDefault="001A2CF1" w:rsidP="007D7C42">
      <w:pPr>
        <w:spacing w:before="100" w:beforeAutospacing="1" w:after="100" w:afterAutospacing="1"/>
        <w:jc w:val="both"/>
        <w:rPr>
          <w:iCs/>
          <w:lang w:eastAsia="fr-FR"/>
        </w:rPr>
      </w:pPr>
      <w:r>
        <w:t xml:space="preserve">Following RAN plenary guideline, RAN2 implemented per band signalling of </w:t>
      </w:r>
      <w:r>
        <w:rPr>
          <w:i/>
          <w:iCs/>
          <w:lang w:eastAsia="fr-FR"/>
        </w:rPr>
        <w:t>supportOf2RxXR</w:t>
      </w:r>
      <w:r w:rsidR="00FA3985">
        <w:rPr>
          <w:iCs/>
          <w:lang w:eastAsia="fr-FR"/>
        </w:rPr>
        <w:t>. This suggests that the UE may indeed be a 2Rx XR UE in some bands for which RAN4 specified the 2Rx exemption while being 4Rx UE in other bands for which the exemption was also specified. Since the main assumption behind specifying 2Rx XR UEs was a limited form factor, such situation seems not possible in reality, i.e. in case the UE’s form</w:t>
      </w:r>
      <w:r w:rsidR="0009490D">
        <w:rPr>
          <w:iCs/>
          <w:lang w:eastAsia="fr-FR"/>
        </w:rPr>
        <w:t xml:space="preserve"> </w:t>
      </w:r>
      <w:r w:rsidR="00FA3985">
        <w:rPr>
          <w:iCs/>
          <w:lang w:eastAsia="fr-FR"/>
        </w:rPr>
        <w:t xml:space="preserve">factor does not allow the UE to be equipped with 4 Rx chains, then this should be band independent. </w:t>
      </w:r>
      <w:r w:rsidR="007E628C">
        <w:rPr>
          <w:iCs/>
          <w:lang w:eastAsia="fr-FR"/>
        </w:rPr>
        <w:t>Such understanding is also suggested by the current definition in TS 38.101-1 which reads as follows:</w:t>
      </w:r>
    </w:p>
    <w:tbl>
      <w:tblPr>
        <w:tblStyle w:val="TableGrid"/>
        <w:tblW w:w="0" w:type="auto"/>
        <w:tblLook w:val="04A0" w:firstRow="1" w:lastRow="0" w:firstColumn="1" w:lastColumn="0" w:noHBand="0" w:noVBand="1"/>
      </w:tblPr>
      <w:tblGrid>
        <w:gridCol w:w="9629"/>
      </w:tblGrid>
      <w:tr w:rsidR="007E628C" w14:paraId="1099FF58" w14:textId="77777777" w:rsidTr="007E628C">
        <w:tc>
          <w:tcPr>
            <w:tcW w:w="9629" w:type="dxa"/>
          </w:tcPr>
          <w:p w14:paraId="5C99BAA4" w14:textId="04DC9710" w:rsidR="007E628C" w:rsidRPr="005307A3" w:rsidRDefault="007E628C" w:rsidP="005307A3">
            <w:r>
              <w:rPr>
                <w:b/>
              </w:rPr>
              <w:t xml:space="preserve">Two Rx antenna port XR UE: </w:t>
            </w:r>
            <w:r w:rsidRPr="005307A3">
              <w:rPr>
                <w:bCs/>
                <w:highlight w:val="yellow"/>
              </w:rPr>
              <w:t>A non-(</w:t>
            </w:r>
            <w:proofErr w:type="gramStart"/>
            <w:r w:rsidRPr="005307A3">
              <w:rPr>
                <w:bCs/>
                <w:highlight w:val="yellow"/>
              </w:rPr>
              <w:t>e)</w:t>
            </w:r>
            <w:proofErr w:type="spellStart"/>
            <w:r w:rsidRPr="005307A3">
              <w:rPr>
                <w:bCs/>
                <w:highlight w:val="yellow"/>
              </w:rPr>
              <w:t>RedCap</w:t>
            </w:r>
            <w:proofErr w:type="spellEnd"/>
            <w:proofErr w:type="gramEnd"/>
            <w:r w:rsidRPr="005307A3">
              <w:rPr>
                <w:bCs/>
                <w:highlight w:val="yellow"/>
              </w:rPr>
              <w:t xml:space="preserve"> XR UE that is equipped with only two Rx antenna ports in frequency band(s) where 4 Rx antenna ports are required.</w:t>
            </w:r>
            <w:r>
              <w:rPr>
                <w:bCs/>
              </w:rPr>
              <w:t xml:space="preserve"> The UE is intended to be worn on human head. When in use, is intended to be supported only by/behind the ears and by a nose-bridge resulting in a constrained form factor with limited volume available for Rx chains.</w:t>
            </w:r>
          </w:p>
        </w:tc>
      </w:tr>
    </w:tbl>
    <w:p w14:paraId="059BD69C" w14:textId="2901D520" w:rsidR="00FA3985" w:rsidRDefault="00FA3985" w:rsidP="007D7C42">
      <w:pPr>
        <w:spacing w:before="100" w:beforeAutospacing="1" w:after="100" w:afterAutospacing="1"/>
        <w:jc w:val="both"/>
        <w:rPr>
          <w:rFonts w:eastAsia="DengXian"/>
        </w:rPr>
      </w:pPr>
      <w:r>
        <w:rPr>
          <w:iCs/>
          <w:lang w:eastAsia="fr-FR"/>
        </w:rPr>
        <w:t xml:space="preserve">Based on such understanding, there was a proposal in [1] that the </w:t>
      </w:r>
      <w:r>
        <w:t xml:space="preserve">2Rx XR UE should indicate the same </w:t>
      </w:r>
      <w:r>
        <w:rPr>
          <w:i/>
        </w:rPr>
        <w:t xml:space="preserve">supportOf2RxXR-r18 </w:t>
      </w:r>
      <w:r>
        <w:t xml:space="preserve">capability in all the bands </w:t>
      </w:r>
      <w:r>
        <w:rPr>
          <w:rFonts w:eastAsia="DengXian"/>
        </w:rPr>
        <w:t>where 4Rx antenna ports are mandated. However, when this proposal was discussed, some companies argued that it may actually happen that the UE is a 2Rx XR UE in some bands, while being 4Rx UE in other bands. This was justified e.g. with the fact that also REFSENS requirements are relaxed for 2Rx XR UE and some UEs may be able to only meet the relaxed requirements in some bands, while being able to meet the regular requirements in other bands.</w:t>
      </w:r>
      <w:r w:rsidR="00166DC6">
        <w:rPr>
          <w:rFonts w:eastAsia="DengXian"/>
        </w:rPr>
        <w:t xml:space="preserve"> </w:t>
      </w:r>
    </w:p>
    <w:p w14:paraId="2E843F8A" w14:textId="3E33C55E" w:rsidR="00FA3985" w:rsidRDefault="00FA3985" w:rsidP="007D7C42">
      <w:pPr>
        <w:spacing w:before="100" w:beforeAutospacing="1" w:after="100" w:afterAutospacing="1"/>
        <w:jc w:val="both"/>
        <w:rPr>
          <w:b/>
          <w:iCs/>
          <w:lang w:eastAsia="fr-FR"/>
        </w:rPr>
      </w:pPr>
      <w:r>
        <w:rPr>
          <w:b/>
          <w:iCs/>
          <w:lang w:eastAsia="fr-FR"/>
        </w:rPr>
        <w:t xml:space="preserve">Observation 1: It seems </w:t>
      </w:r>
      <w:r w:rsidR="00166DC6">
        <w:rPr>
          <w:b/>
          <w:iCs/>
          <w:lang w:eastAsia="fr-FR"/>
        </w:rPr>
        <w:t xml:space="preserve">possible for the UE to be </w:t>
      </w:r>
      <w:r w:rsidR="005374E1">
        <w:rPr>
          <w:b/>
          <w:iCs/>
          <w:lang w:eastAsia="fr-FR"/>
        </w:rPr>
        <w:t xml:space="preserve">a 2Rx XR UE in one band while being </w:t>
      </w:r>
      <w:r w:rsidR="00486E2C">
        <w:rPr>
          <w:b/>
          <w:iCs/>
          <w:lang w:eastAsia="fr-FR"/>
        </w:rPr>
        <w:t>a “regular</w:t>
      </w:r>
      <w:r w:rsidR="0090283E">
        <w:rPr>
          <w:b/>
          <w:iCs/>
          <w:lang w:eastAsia="fr-FR"/>
        </w:rPr>
        <w:t xml:space="preserve"> 4Rx</w:t>
      </w:r>
      <w:r w:rsidR="00486E2C">
        <w:rPr>
          <w:b/>
          <w:iCs/>
          <w:lang w:eastAsia="fr-FR"/>
        </w:rPr>
        <w:t>” UE in other bands, e.g. due to meeting regular REFSENS requirements in some bands while meeting only relaxed REFSENS requirements in other bands.</w:t>
      </w:r>
    </w:p>
    <w:p w14:paraId="123EF38C" w14:textId="4B55494D" w:rsidR="0078635A" w:rsidRDefault="0078635A" w:rsidP="007D7C42">
      <w:pPr>
        <w:spacing w:before="100" w:beforeAutospacing="1" w:after="100" w:afterAutospacing="1"/>
        <w:jc w:val="both"/>
        <w:rPr>
          <w:b/>
          <w:iCs/>
          <w:lang w:eastAsia="fr-FR"/>
        </w:rPr>
      </w:pPr>
      <w:r>
        <w:rPr>
          <w:b/>
          <w:iCs/>
          <w:lang w:eastAsia="fr-FR"/>
        </w:rPr>
        <w:t>Observation 2: If it was not possible for the UE to be 2Rx XR UE only in some bands while being a regular UE in other bands, it would not make sense for RAN plenary to decide that the capability is per band</w:t>
      </w:r>
      <w:r w:rsidR="00514BCB">
        <w:rPr>
          <w:b/>
          <w:iCs/>
          <w:lang w:eastAsia="fr-FR"/>
        </w:rPr>
        <w:t xml:space="preserve">, as can be seen in </w:t>
      </w:r>
      <w:r w:rsidR="00C0069C">
        <w:rPr>
          <w:b/>
          <w:iCs/>
          <w:lang w:eastAsia="fr-FR"/>
        </w:rPr>
        <w:t xml:space="preserve">a way forward approved at RANP#102 </w:t>
      </w:r>
      <w:r w:rsidR="00514BCB">
        <w:rPr>
          <w:b/>
          <w:iCs/>
          <w:lang w:eastAsia="fr-FR"/>
        </w:rPr>
        <w:t>[4]</w:t>
      </w:r>
      <w:r>
        <w:rPr>
          <w:b/>
          <w:iCs/>
          <w:lang w:eastAsia="fr-FR"/>
        </w:rPr>
        <w:t>.</w:t>
      </w:r>
    </w:p>
    <w:p w14:paraId="3CEF5C47" w14:textId="0E3AA457" w:rsidR="00B8780D" w:rsidRDefault="00B8780D" w:rsidP="007D7C42">
      <w:pPr>
        <w:spacing w:before="100" w:beforeAutospacing="1" w:after="100" w:afterAutospacing="1"/>
        <w:jc w:val="both"/>
        <w:rPr>
          <w:b/>
          <w:iCs/>
          <w:lang w:eastAsia="fr-FR"/>
        </w:rPr>
      </w:pPr>
      <w:r>
        <w:rPr>
          <w:b/>
          <w:iCs/>
          <w:lang w:eastAsia="fr-FR"/>
        </w:rPr>
        <w:t>Proposal 1: RAN2 to confirm that it is possible for the UE to be 2Rx XR UE only in some bands while being a regular UE in other bands.</w:t>
      </w:r>
    </w:p>
    <w:p w14:paraId="7ABF61F0" w14:textId="5B0410BA" w:rsidR="00B8780D" w:rsidRDefault="00B8780D" w:rsidP="007D7C42">
      <w:pPr>
        <w:spacing w:before="100" w:beforeAutospacing="1" w:after="100" w:afterAutospacing="1"/>
        <w:jc w:val="both"/>
        <w:rPr>
          <w:iCs/>
          <w:lang w:eastAsia="fr-FR"/>
        </w:rPr>
      </w:pPr>
      <w:r>
        <w:rPr>
          <w:iCs/>
          <w:lang w:eastAsia="fr-FR"/>
        </w:rPr>
        <w:t>In case Proposal 1 cannot be confirmed by RAN2, then RAN2 should probably raise their concerns and ask for a clarification from RAN plenary or RAN4.</w:t>
      </w:r>
    </w:p>
    <w:p w14:paraId="7612EE39" w14:textId="77777777" w:rsidR="0009490D" w:rsidRDefault="00B8780D" w:rsidP="007D7C42">
      <w:pPr>
        <w:spacing w:before="100" w:beforeAutospacing="1" w:after="100" w:afterAutospacing="1"/>
        <w:jc w:val="both"/>
        <w:rPr>
          <w:b/>
          <w:iCs/>
          <w:lang w:eastAsia="fr-FR"/>
        </w:rPr>
      </w:pPr>
      <w:r>
        <w:rPr>
          <w:b/>
          <w:iCs/>
          <w:lang w:eastAsia="fr-FR"/>
        </w:rPr>
        <w:lastRenderedPageBreak/>
        <w:t xml:space="preserve">Proposal 2: </w:t>
      </w:r>
      <w:r w:rsidRPr="00B8780D">
        <w:rPr>
          <w:b/>
          <w:iCs/>
          <w:lang w:eastAsia="fr-FR"/>
        </w:rPr>
        <w:t xml:space="preserve">In case Proposal 1 cannot be confirmed by RAN2, RAN2 should </w:t>
      </w:r>
      <w:r w:rsidR="0009490D">
        <w:rPr>
          <w:b/>
          <w:iCs/>
          <w:lang w:eastAsia="fr-FR"/>
        </w:rPr>
        <w:t>either:</w:t>
      </w:r>
    </w:p>
    <w:p w14:paraId="4602A369" w14:textId="199249E7" w:rsidR="00B8780D" w:rsidRPr="0009490D" w:rsidRDefault="0009490D" w:rsidP="00416279">
      <w:pPr>
        <w:pStyle w:val="ListParagraph"/>
        <w:numPr>
          <w:ilvl w:val="0"/>
          <w:numId w:val="6"/>
        </w:numPr>
        <w:spacing w:before="100" w:beforeAutospacing="1" w:after="100" w:afterAutospacing="1"/>
        <w:rPr>
          <w:rFonts w:ascii="Times New Roman" w:hAnsi="Times New Roman" w:cs="Times New Roman"/>
          <w:b/>
          <w:iCs/>
          <w:sz w:val="20"/>
          <w:szCs w:val="20"/>
          <w:lang w:eastAsia="fr-FR"/>
        </w:rPr>
      </w:pPr>
      <w:r w:rsidRPr="0009490D">
        <w:rPr>
          <w:rFonts w:ascii="Times New Roman" w:hAnsi="Times New Roman" w:cs="Times New Roman"/>
          <w:b/>
          <w:iCs/>
          <w:sz w:val="20"/>
          <w:szCs w:val="20"/>
          <w:lang w:eastAsia="fr-FR"/>
        </w:rPr>
        <w:t>A</w:t>
      </w:r>
      <w:r w:rsidR="00B8780D" w:rsidRPr="0009490D">
        <w:rPr>
          <w:rFonts w:ascii="Times New Roman" w:hAnsi="Times New Roman" w:cs="Times New Roman"/>
          <w:b/>
          <w:iCs/>
          <w:sz w:val="20"/>
          <w:szCs w:val="20"/>
          <w:lang w:eastAsia="fr-FR"/>
        </w:rPr>
        <w:t>sk for a clarification from RAN plenary or RAN4 whether/why supportOf2RxXR can be different for different bands</w:t>
      </w:r>
      <w:r w:rsidR="003E2E5B">
        <w:rPr>
          <w:rFonts w:ascii="Times New Roman" w:hAnsi="Times New Roman" w:cs="Times New Roman"/>
          <w:b/>
          <w:iCs/>
          <w:sz w:val="20"/>
          <w:szCs w:val="20"/>
          <w:lang w:eastAsia="fr-FR"/>
        </w:rPr>
        <w:t>, or</w:t>
      </w:r>
    </w:p>
    <w:p w14:paraId="3AA05B63" w14:textId="6ED8E85D" w:rsidR="0009490D" w:rsidRPr="0009490D" w:rsidRDefault="0009490D" w:rsidP="00416279">
      <w:pPr>
        <w:pStyle w:val="ListParagraph"/>
        <w:numPr>
          <w:ilvl w:val="0"/>
          <w:numId w:val="6"/>
        </w:numPr>
        <w:spacing w:before="100" w:beforeAutospacing="1" w:after="100" w:afterAutospacing="1"/>
        <w:rPr>
          <w:rFonts w:ascii="Times New Roman" w:hAnsi="Times New Roman" w:cs="Times New Roman"/>
          <w:b/>
          <w:iCs/>
          <w:sz w:val="20"/>
          <w:szCs w:val="20"/>
          <w:lang w:eastAsia="fr-FR"/>
        </w:rPr>
      </w:pPr>
      <w:r w:rsidRPr="0009490D">
        <w:rPr>
          <w:rFonts w:ascii="Times New Roman" w:hAnsi="Times New Roman" w:cs="Times New Roman"/>
          <w:b/>
          <w:iCs/>
          <w:sz w:val="20"/>
          <w:szCs w:val="20"/>
          <w:lang w:eastAsia="fr-FR"/>
        </w:rPr>
        <w:t>Agree that a 2Rx XR UE should indicate the same supportOf2RxXR-r18 capability in all the bands where 4Rx antenna ports are mandated.</w:t>
      </w:r>
    </w:p>
    <w:p w14:paraId="2D47C4B7" w14:textId="284AB981" w:rsidR="001A2CF1" w:rsidRDefault="00500F7E" w:rsidP="007D7C42">
      <w:pPr>
        <w:spacing w:before="100" w:beforeAutospacing="1" w:after="100" w:afterAutospacing="1"/>
        <w:jc w:val="both"/>
      </w:pPr>
      <w:r>
        <w:t>We however assume that Proposal 1 is confirmed by RAN2. If that is the case, then current cell barring behaviour is incorrect. In section 2.2 we clarify why this is the case and propose two solutions for this issue.</w:t>
      </w:r>
    </w:p>
    <w:p w14:paraId="7FD49F09" w14:textId="602D182C" w:rsidR="00500F7E" w:rsidRPr="001A2CF1" w:rsidRDefault="00500F7E" w:rsidP="00500F7E">
      <w:pPr>
        <w:pStyle w:val="Heading2"/>
      </w:pPr>
      <w:r>
        <w:t>2.</w:t>
      </w:r>
      <w:r w:rsidR="00D077A4">
        <w:t>2</w:t>
      </w:r>
      <w:r>
        <w:tab/>
        <w:t>Cell barring for per band support of 2Rx XR UE</w:t>
      </w:r>
    </w:p>
    <w:p w14:paraId="55BB467B" w14:textId="5E9E83D1" w:rsidR="00500F7E" w:rsidRDefault="00D077A4" w:rsidP="007D7C42">
      <w:pPr>
        <w:spacing w:before="100" w:beforeAutospacing="1" w:after="100" w:afterAutospacing="1"/>
        <w:jc w:val="both"/>
        <w:rPr>
          <w:noProof/>
        </w:rPr>
      </w:pPr>
      <w:r>
        <w:rPr>
          <w:noProof/>
        </w:rPr>
        <w:t xml:space="preserve">The consequence of the capability signalling of </w:t>
      </w:r>
      <w:r>
        <w:rPr>
          <w:i/>
          <w:noProof/>
        </w:rPr>
        <w:t>supportOf2RxXR</w:t>
      </w:r>
      <w:r>
        <w:rPr>
          <w:noProof/>
        </w:rPr>
        <w:t xml:space="preserve"> being per band is that, in the same cell, the UE may be a 2Rx XR UE for some bands supported by the cell, but still be non-2Rx XR UE for other bands supported by the cell. Hence, in case </w:t>
      </w:r>
      <w:r>
        <w:rPr>
          <w:i/>
          <w:iCs/>
        </w:rPr>
        <w:t>cellBarred2RxXR</w:t>
      </w:r>
      <w:r>
        <w:rPr>
          <w:noProof/>
        </w:rPr>
        <w:t xml:space="preserve"> is included in the cell, the UE only needs to bar the cell in case the UE intends to operate in a band for which it indicates </w:t>
      </w:r>
      <w:r>
        <w:rPr>
          <w:i/>
          <w:noProof/>
        </w:rPr>
        <w:t>supportOf2RxXR</w:t>
      </w:r>
      <w:r>
        <w:rPr>
          <w:noProof/>
        </w:rPr>
        <w:t xml:space="preserve">. In case the UE selects another band, it should still be able to access the cell. On the other hand, the current procedural text in RRC makes the UE bar the cell in case it is a 2Rx XR UE regardless of the band selected by the UE. </w:t>
      </w:r>
    </w:p>
    <w:p w14:paraId="0233E131" w14:textId="381CEEF2" w:rsidR="00307713" w:rsidRPr="00307713" w:rsidRDefault="00307713" w:rsidP="007D7C42">
      <w:pPr>
        <w:spacing w:before="100" w:beforeAutospacing="1" w:after="100" w:afterAutospacing="1"/>
        <w:jc w:val="both"/>
        <w:rPr>
          <w:b/>
          <w:noProof/>
        </w:rPr>
      </w:pPr>
      <w:r>
        <w:rPr>
          <w:b/>
          <w:noProof/>
        </w:rPr>
        <w:t xml:space="preserve">Observation 3: </w:t>
      </w:r>
      <w:r>
        <w:rPr>
          <w:b/>
        </w:rPr>
        <w:t xml:space="preserve">If RAN2 agrees that </w:t>
      </w:r>
      <w:r>
        <w:rPr>
          <w:b/>
          <w:iCs/>
          <w:lang w:eastAsia="fr-FR"/>
        </w:rPr>
        <w:t>it is possible for the UE to be 2Rx XR UE only in some bands while being a regular UE in other bands, then the current specifications are incorrect as they force the UE to bar the cell regardless of the band which the UE selects for operation.</w:t>
      </w:r>
    </w:p>
    <w:p w14:paraId="501B26CD" w14:textId="1C29E4EF" w:rsidR="00742847" w:rsidRPr="00742847" w:rsidRDefault="00742847" w:rsidP="007D7C42">
      <w:pPr>
        <w:spacing w:before="100" w:beforeAutospacing="1" w:after="100" w:afterAutospacing="1"/>
        <w:jc w:val="both"/>
        <w:rPr>
          <w:b/>
        </w:rPr>
      </w:pPr>
      <w:r>
        <w:rPr>
          <w:b/>
        </w:rPr>
        <w:t xml:space="preserve">Proposal 3: If RAN2 </w:t>
      </w:r>
      <w:r w:rsidR="003E2E5B">
        <w:rPr>
          <w:b/>
        </w:rPr>
        <w:t xml:space="preserve">confirms </w:t>
      </w:r>
      <w:r>
        <w:rPr>
          <w:b/>
        </w:rPr>
        <w:t xml:space="preserve">that </w:t>
      </w:r>
      <w:r>
        <w:rPr>
          <w:b/>
          <w:iCs/>
          <w:lang w:eastAsia="fr-FR"/>
        </w:rPr>
        <w:t xml:space="preserve">it is possible for the UE to be 2Rx XR UE only in some bands while being a regular UE in other bands, then </w:t>
      </w:r>
      <w:r w:rsidRPr="00742847">
        <w:rPr>
          <w:b/>
        </w:rPr>
        <w:t xml:space="preserve">the UE only needs to bar the cell </w:t>
      </w:r>
      <w:r>
        <w:rPr>
          <w:b/>
        </w:rPr>
        <w:t xml:space="preserve">based on </w:t>
      </w:r>
      <w:r w:rsidRPr="00742847">
        <w:rPr>
          <w:b/>
        </w:rPr>
        <w:t xml:space="preserve">cellBarred2RxXR in case the UE intends to operate in a band for which it indicates supportOf2RxXR. </w:t>
      </w:r>
      <w:r w:rsidR="00125B65" w:rsidRPr="00125B65">
        <w:rPr>
          <w:b/>
        </w:rPr>
        <w:t>In case the UE selects another band, it should still be able to access the cell.</w:t>
      </w:r>
    </w:p>
    <w:p w14:paraId="7AAF497F" w14:textId="7A7F13DA" w:rsidR="00F86DBF" w:rsidRPr="00F86DBF" w:rsidRDefault="00F86DBF" w:rsidP="007D7C42">
      <w:pPr>
        <w:spacing w:before="100" w:beforeAutospacing="1" w:after="100" w:afterAutospacing="1"/>
        <w:jc w:val="both"/>
      </w:pPr>
      <w:r w:rsidRPr="00F86DBF">
        <w:t>This may be achieved in two ways which were previously discussed in RAN2#125bis and RAN2#126 meetings:</w:t>
      </w:r>
    </w:p>
    <w:p w14:paraId="78298AE7" w14:textId="74ABD68B" w:rsidR="00F86DBF" w:rsidRPr="00F86DBF" w:rsidRDefault="00F86DBF" w:rsidP="00416279">
      <w:pPr>
        <w:pStyle w:val="ListParagraph"/>
        <w:numPr>
          <w:ilvl w:val="0"/>
          <w:numId w:val="5"/>
        </w:numPr>
        <w:spacing w:before="100" w:beforeAutospacing="1" w:after="100" w:afterAutospacing="1"/>
        <w:rPr>
          <w:rFonts w:ascii="Times New Roman" w:hAnsi="Times New Roman" w:cs="Times New Roman"/>
          <w:sz w:val="20"/>
          <w:szCs w:val="20"/>
        </w:rPr>
      </w:pPr>
      <w:r w:rsidRPr="00F86DBF">
        <w:rPr>
          <w:rFonts w:ascii="Times New Roman" w:hAnsi="Times New Roman" w:cs="Times New Roman"/>
          <w:sz w:val="20"/>
          <w:szCs w:val="20"/>
        </w:rPr>
        <w:t>With a clarification via a note</w:t>
      </w:r>
      <w:r w:rsidR="00522B8C">
        <w:rPr>
          <w:rFonts w:ascii="Times New Roman" w:hAnsi="Times New Roman" w:cs="Times New Roman"/>
          <w:sz w:val="20"/>
          <w:szCs w:val="20"/>
        </w:rPr>
        <w:t>, e.g.</w:t>
      </w:r>
      <w:r w:rsidRPr="00F86DBF">
        <w:rPr>
          <w:rFonts w:ascii="Times New Roman" w:hAnsi="Times New Roman" w:cs="Times New Roman"/>
          <w:sz w:val="20"/>
          <w:szCs w:val="20"/>
        </w:rPr>
        <w:t xml:space="preserve"> as proposed in [2]</w:t>
      </w:r>
    </w:p>
    <w:p w14:paraId="6675C352" w14:textId="3722EEBC" w:rsidR="00522B8C" w:rsidRPr="00522B8C" w:rsidRDefault="00F86DBF" w:rsidP="00416279">
      <w:pPr>
        <w:pStyle w:val="ListParagraph"/>
        <w:numPr>
          <w:ilvl w:val="0"/>
          <w:numId w:val="5"/>
        </w:numPr>
        <w:spacing w:before="100" w:beforeAutospacing="1" w:after="100" w:afterAutospacing="1"/>
        <w:rPr>
          <w:rFonts w:ascii="Times New Roman" w:hAnsi="Times New Roman" w:cs="Times New Roman"/>
          <w:sz w:val="20"/>
          <w:szCs w:val="20"/>
        </w:rPr>
      </w:pPr>
      <w:r w:rsidRPr="00F86DBF">
        <w:rPr>
          <w:rFonts w:ascii="Times New Roman" w:hAnsi="Times New Roman" w:cs="Times New Roman"/>
          <w:sz w:val="20"/>
          <w:szCs w:val="20"/>
        </w:rPr>
        <w:t xml:space="preserve">With a change to procedural text, </w:t>
      </w:r>
      <w:r w:rsidR="00522B8C">
        <w:rPr>
          <w:rFonts w:ascii="Times New Roman" w:hAnsi="Times New Roman" w:cs="Times New Roman"/>
          <w:sz w:val="20"/>
          <w:szCs w:val="20"/>
        </w:rPr>
        <w:t xml:space="preserve">e.g. </w:t>
      </w:r>
      <w:r w:rsidRPr="00F86DBF">
        <w:rPr>
          <w:rFonts w:ascii="Times New Roman" w:hAnsi="Times New Roman" w:cs="Times New Roman"/>
          <w:sz w:val="20"/>
          <w:szCs w:val="20"/>
        </w:rPr>
        <w:t>as proposed in [3]</w:t>
      </w:r>
    </w:p>
    <w:p w14:paraId="26A60DC7" w14:textId="2CCCD8D9" w:rsidR="00A217EE" w:rsidRPr="00A217EE" w:rsidRDefault="00522B8C" w:rsidP="004869A2">
      <w:pPr>
        <w:spacing w:before="100" w:beforeAutospacing="1" w:after="100" w:afterAutospacing="1"/>
        <w:jc w:val="both"/>
        <w:rPr>
          <w:b/>
        </w:rPr>
      </w:pPr>
      <w:r>
        <w:rPr>
          <w:b/>
        </w:rPr>
        <w:t xml:space="preserve">Proposal 4: </w:t>
      </w:r>
      <w:r w:rsidR="00F75E7C">
        <w:rPr>
          <w:b/>
        </w:rPr>
        <w:t xml:space="preserve">If Proposal 3 is agreed, RAN2 should discuss whether </w:t>
      </w:r>
      <w:r w:rsidR="007E628C">
        <w:rPr>
          <w:b/>
        </w:rPr>
        <w:t xml:space="preserve">TS 38.331 and/or TS 38.304 </w:t>
      </w:r>
      <w:r w:rsidR="00F75E7C">
        <w:rPr>
          <w:b/>
        </w:rPr>
        <w:t xml:space="preserve">should be corrected with a note or via a change to </w:t>
      </w:r>
      <w:r w:rsidR="009B4797">
        <w:rPr>
          <w:b/>
        </w:rPr>
        <w:t>the</w:t>
      </w:r>
      <w:r w:rsidR="007E628C">
        <w:rPr>
          <w:b/>
        </w:rPr>
        <w:t xml:space="preserve"> </w:t>
      </w:r>
      <w:r w:rsidR="00F75E7C">
        <w:rPr>
          <w:b/>
        </w:rPr>
        <w:t>procedural text.</w:t>
      </w:r>
    </w:p>
    <w:p w14:paraId="1B4B23D7" w14:textId="18601DD5" w:rsidR="00A361EF" w:rsidRDefault="005E1430" w:rsidP="005E1430">
      <w:pPr>
        <w:pStyle w:val="Heading1"/>
      </w:pPr>
      <w:r>
        <w:t xml:space="preserve">3 </w:t>
      </w:r>
      <w:r w:rsidR="00A361EF">
        <w:t>Conclusion</w:t>
      </w:r>
    </w:p>
    <w:p w14:paraId="1DC64EFA" w14:textId="725FAE24" w:rsidR="00BB6CA6" w:rsidRDefault="00557F1D" w:rsidP="000D3A27">
      <w:pPr>
        <w:spacing w:before="100" w:beforeAutospacing="1" w:after="100" w:afterAutospacing="1"/>
        <w:jc w:val="both"/>
        <w:rPr>
          <w:lang w:val="en-US"/>
        </w:rPr>
      </w:pPr>
      <w:r>
        <w:rPr>
          <w:lang w:val="en-US"/>
        </w:rPr>
        <w:t xml:space="preserve">Based on the discussion in this paper, we </w:t>
      </w:r>
      <w:r w:rsidR="004869A2">
        <w:rPr>
          <w:lang w:val="en-US"/>
        </w:rPr>
        <w:t xml:space="preserve">observe and </w:t>
      </w:r>
      <w:r>
        <w:rPr>
          <w:lang w:val="en-US"/>
        </w:rPr>
        <w:t>propose the following:</w:t>
      </w:r>
    </w:p>
    <w:p w14:paraId="4427812C" w14:textId="77777777" w:rsidR="000B18DD" w:rsidRDefault="000B18DD" w:rsidP="000B18DD">
      <w:pPr>
        <w:spacing w:before="100" w:beforeAutospacing="1" w:after="100" w:afterAutospacing="1"/>
        <w:jc w:val="both"/>
        <w:rPr>
          <w:b/>
          <w:iCs/>
          <w:lang w:eastAsia="fr-FR"/>
        </w:rPr>
      </w:pPr>
      <w:r>
        <w:rPr>
          <w:b/>
          <w:iCs/>
          <w:lang w:eastAsia="fr-FR"/>
        </w:rPr>
        <w:t>Observation 1: It seems possible for the UE to be a 2Rx XR UE in one band while being a “regular 4Rx” UE in other bands, e.g. due to meeting regular REFSENS requirements in some bands while meeting only relaxed REFSENS requirements in other bands.</w:t>
      </w:r>
    </w:p>
    <w:p w14:paraId="3A9358B7" w14:textId="43D81AE4" w:rsidR="000B18DD" w:rsidRDefault="000B18DD" w:rsidP="000B18DD">
      <w:pPr>
        <w:spacing w:before="100" w:beforeAutospacing="1" w:after="100" w:afterAutospacing="1"/>
        <w:jc w:val="both"/>
        <w:rPr>
          <w:b/>
          <w:iCs/>
          <w:lang w:eastAsia="fr-FR"/>
        </w:rPr>
      </w:pPr>
      <w:r>
        <w:rPr>
          <w:b/>
          <w:iCs/>
          <w:lang w:eastAsia="fr-FR"/>
        </w:rPr>
        <w:t>Observation 2: If it was not possible for the UE to be 2Rx XR UE only in some bands while being a regular UE in other bands, it would not make sense for RAN plenary to decide that the capability is per band, as can be seen in a way forward approved at RANP#102 [4].</w:t>
      </w:r>
    </w:p>
    <w:p w14:paraId="29F98395" w14:textId="77777777" w:rsidR="00217FC7" w:rsidRPr="00307713" w:rsidRDefault="00217FC7" w:rsidP="00217FC7">
      <w:pPr>
        <w:spacing w:before="100" w:beforeAutospacing="1" w:after="100" w:afterAutospacing="1"/>
        <w:jc w:val="both"/>
        <w:rPr>
          <w:b/>
          <w:noProof/>
        </w:rPr>
      </w:pPr>
      <w:r>
        <w:rPr>
          <w:b/>
          <w:noProof/>
        </w:rPr>
        <w:t xml:space="preserve">Observation 3: </w:t>
      </w:r>
      <w:r>
        <w:rPr>
          <w:b/>
        </w:rPr>
        <w:t xml:space="preserve">If RAN2 agrees that </w:t>
      </w:r>
      <w:r>
        <w:rPr>
          <w:b/>
          <w:iCs/>
          <w:lang w:eastAsia="fr-FR"/>
        </w:rPr>
        <w:t>it is possible for the UE to be 2Rx XR UE only in some bands while being a regular UE in other bands, then the current specifications are incorrect as they force the UE to bar the cell regardless of the band which the UE selects for operation.</w:t>
      </w:r>
    </w:p>
    <w:p w14:paraId="548C6B34" w14:textId="77777777" w:rsidR="00217FC7" w:rsidRDefault="00217FC7" w:rsidP="000B18DD">
      <w:pPr>
        <w:spacing w:before="100" w:beforeAutospacing="1" w:after="100" w:afterAutospacing="1"/>
        <w:jc w:val="both"/>
        <w:rPr>
          <w:b/>
          <w:iCs/>
          <w:lang w:eastAsia="fr-FR"/>
        </w:rPr>
      </w:pPr>
    </w:p>
    <w:p w14:paraId="41BF3541" w14:textId="77777777" w:rsidR="000B18DD" w:rsidRDefault="000B18DD" w:rsidP="000B18DD">
      <w:pPr>
        <w:spacing w:before="100" w:beforeAutospacing="1" w:after="100" w:afterAutospacing="1"/>
        <w:jc w:val="both"/>
        <w:rPr>
          <w:b/>
          <w:iCs/>
          <w:lang w:eastAsia="fr-FR"/>
        </w:rPr>
      </w:pPr>
      <w:r>
        <w:rPr>
          <w:b/>
          <w:iCs/>
          <w:lang w:eastAsia="fr-FR"/>
        </w:rPr>
        <w:t>Proposal 1: RAN2 to confirm that it is possible for the UE to be 2Rx XR UE only in some bands while being a regular UE in other bands.</w:t>
      </w:r>
    </w:p>
    <w:p w14:paraId="5F6AD11C" w14:textId="77777777" w:rsidR="000B18DD" w:rsidRDefault="000B18DD" w:rsidP="000B18DD">
      <w:pPr>
        <w:spacing w:before="100" w:beforeAutospacing="1" w:after="100" w:afterAutospacing="1"/>
        <w:jc w:val="both"/>
        <w:rPr>
          <w:b/>
          <w:iCs/>
          <w:lang w:eastAsia="fr-FR"/>
        </w:rPr>
      </w:pPr>
      <w:r>
        <w:rPr>
          <w:b/>
          <w:iCs/>
          <w:lang w:eastAsia="fr-FR"/>
        </w:rPr>
        <w:t xml:space="preserve">Proposal 2: </w:t>
      </w:r>
      <w:r w:rsidRPr="00B8780D">
        <w:rPr>
          <w:b/>
          <w:iCs/>
          <w:lang w:eastAsia="fr-FR"/>
        </w:rPr>
        <w:t xml:space="preserve">In case Proposal 1 cannot be confirmed by RAN2, RAN2 should </w:t>
      </w:r>
      <w:r>
        <w:rPr>
          <w:b/>
          <w:iCs/>
          <w:lang w:eastAsia="fr-FR"/>
        </w:rPr>
        <w:t>either:</w:t>
      </w:r>
    </w:p>
    <w:p w14:paraId="1FE4F87D" w14:textId="77777777" w:rsidR="000B18DD" w:rsidRPr="0009490D" w:rsidRDefault="000B18DD" w:rsidP="000B18DD">
      <w:pPr>
        <w:pStyle w:val="ListParagraph"/>
        <w:numPr>
          <w:ilvl w:val="0"/>
          <w:numId w:val="8"/>
        </w:numPr>
        <w:spacing w:before="100" w:beforeAutospacing="1" w:after="100" w:afterAutospacing="1"/>
        <w:rPr>
          <w:rFonts w:ascii="Times New Roman" w:hAnsi="Times New Roman" w:cs="Times New Roman"/>
          <w:b/>
          <w:iCs/>
          <w:sz w:val="20"/>
          <w:szCs w:val="20"/>
          <w:lang w:eastAsia="fr-FR"/>
        </w:rPr>
      </w:pPr>
      <w:r w:rsidRPr="0009490D">
        <w:rPr>
          <w:rFonts w:ascii="Times New Roman" w:hAnsi="Times New Roman" w:cs="Times New Roman"/>
          <w:b/>
          <w:iCs/>
          <w:sz w:val="20"/>
          <w:szCs w:val="20"/>
          <w:lang w:eastAsia="fr-FR"/>
        </w:rPr>
        <w:lastRenderedPageBreak/>
        <w:t>Ask for a clarification from RAN plenary or RAN4 whether/why supportOf2RxXR can be different for different bands</w:t>
      </w:r>
      <w:r>
        <w:rPr>
          <w:rFonts w:ascii="Times New Roman" w:hAnsi="Times New Roman" w:cs="Times New Roman"/>
          <w:b/>
          <w:iCs/>
          <w:sz w:val="20"/>
          <w:szCs w:val="20"/>
          <w:lang w:eastAsia="fr-FR"/>
        </w:rPr>
        <w:t>, or</w:t>
      </w:r>
    </w:p>
    <w:p w14:paraId="2E1D9AAB" w14:textId="77777777" w:rsidR="000B18DD" w:rsidRPr="0009490D" w:rsidRDefault="000B18DD" w:rsidP="000B18DD">
      <w:pPr>
        <w:pStyle w:val="ListParagraph"/>
        <w:numPr>
          <w:ilvl w:val="0"/>
          <w:numId w:val="8"/>
        </w:numPr>
        <w:spacing w:before="100" w:beforeAutospacing="1" w:after="100" w:afterAutospacing="1"/>
        <w:rPr>
          <w:rFonts w:ascii="Times New Roman" w:hAnsi="Times New Roman" w:cs="Times New Roman"/>
          <w:b/>
          <w:iCs/>
          <w:sz w:val="20"/>
          <w:szCs w:val="20"/>
          <w:lang w:eastAsia="fr-FR"/>
        </w:rPr>
      </w:pPr>
      <w:r w:rsidRPr="0009490D">
        <w:rPr>
          <w:rFonts w:ascii="Times New Roman" w:hAnsi="Times New Roman" w:cs="Times New Roman"/>
          <w:b/>
          <w:iCs/>
          <w:sz w:val="20"/>
          <w:szCs w:val="20"/>
          <w:lang w:eastAsia="fr-FR"/>
        </w:rPr>
        <w:t>Agree that a 2Rx XR UE should indicate the same supportOf2RxXR-r18 capability in all the bands where 4Rx antenna ports are mandated.</w:t>
      </w:r>
    </w:p>
    <w:p w14:paraId="22933F3E" w14:textId="77777777" w:rsidR="000B18DD" w:rsidRPr="00742847" w:rsidRDefault="000B18DD" w:rsidP="000B18DD">
      <w:pPr>
        <w:spacing w:before="100" w:beforeAutospacing="1" w:after="100" w:afterAutospacing="1"/>
        <w:jc w:val="both"/>
        <w:rPr>
          <w:b/>
        </w:rPr>
      </w:pPr>
      <w:r>
        <w:rPr>
          <w:b/>
        </w:rPr>
        <w:t xml:space="preserve">Proposal 3: If RAN2 confirms that </w:t>
      </w:r>
      <w:r>
        <w:rPr>
          <w:b/>
          <w:iCs/>
          <w:lang w:eastAsia="fr-FR"/>
        </w:rPr>
        <w:t xml:space="preserve">it is possible for the UE to be 2Rx XR UE only in some bands while being a regular UE in other bands, then </w:t>
      </w:r>
      <w:r w:rsidRPr="00742847">
        <w:rPr>
          <w:b/>
        </w:rPr>
        <w:t xml:space="preserve">the UE only needs to bar the cell </w:t>
      </w:r>
      <w:r>
        <w:rPr>
          <w:b/>
        </w:rPr>
        <w:t xml:space="preserve">based on </w:t>
      </w:r>
      <w:r w:rsidRPr="00742847">
        <w:rPr>
          <w:b/>
        </w:rPr>
        <w:t xml:space="preserve">cellBarred2RxXR in case the UE intends to operate in a band for which it indicates supportOf2RxXR. </w:t>
      </w:r>
      <w:r w:rsidRPr="00125B65">
        <w:rPr>
          <w:b/>
        </w:rPr>
        <w:t>In case the UE selects another band, it should still be able to access the cell.</w:t>
      </w:r>
    </w:p>
    <w:p w14:paraId="05EDEB91" w14:textId="49A7D2ED" w:rsidR="000B18DD" w:rsidRPr="00A217EE" w:rsidRDefault="000B18DD" w:rsidP="000B18DD">
      <w:pPr>
        <w:spacing w:before="100" w:beforeAutospacing="1" w:after="100" w:afterAutospacing="1"/>
        <w:jc w:val="both"/>
        <w:rPr>
          <w:b/>
        </w:rPr>
      </w:pPr>
      <w:r>
        <w:rPr>
          <w:b/>
        </w:rPr>
        <w:t>Proposal 4: If Proposal 3 is agreed, RAN2 should discuss whether</w:t>
      </w:r>
      <w:r w:rsidR="007E628C">
        <w:rPr>
          <w:b/>
        </w:rPr>
        <w:t xml:space="preserve"> TS 38.331 and/or TS 38.304 </w:t>
      </w:r>
      <w:r>
        <w:rPr>
          <w:b/>
        </w:rPr>
        <w:t xml:space="preserve">should be corrected with a note or via a change to </w:t>
      </w:r>
      <w:r w:rsidR="009B4797">
        <w:rPr>
          <w:b/>
        </w:rPr>
        <w:t>the</w:t>
      </w:r>
      <w:r w:rsidR="007E628C">
        <w:rPr>
          <w:b/>
        </w:rPr>
        <w:t xml:space="preserve"> </w:t>
      </w:r>
      <w:r>
        <w:rPr>
          <w:b/>
        </w:rPr>
        <w:t>procedural text.</w:t>
      </w:r>
    </w:p>
    <w:p w14:paraId="2BA0FE30" w14:textId="6C494B8D" w:rsidR="00BE7440" w:rsidRPr="00A217EE" w:rsidRDefault="00BE7440" w:rsidP="00046CD6">
      <w:pPr>
        <w:spacing w:before="100" w:beforeAutospacing="1" w:after="100" w:afterAutospacing="1"/>
        <w:jc w:val="both"/>
        <w:rPr>
          <w:b/>
        </w:rPr>
      </w:pPr>
    </w:p>
    <w:p w14:paraId="202BEE13" w14:textId="0D2F84D6" w:rsidR="008C3E92" w:rsidRDefault="008C3E92" w:rsidP="0046531D">
      <w:pPr>
        <w:pStyle w:val="Heading1"/>
        <w:ind w:left="0" w:firstLine="0"/>
        <w:jc w:val="both"/>
      </w:pPr>
      <w:r>
        <w:rPr>
          <w:rFonts w:hint="eastAsia"/>
        </w:rPr>
        <w:t>4</w:t>
      </w:r>
      <w:r>
        <w:t xml:space="preserve"> Reference</w:t>
      </w:r>
      <w:r w:rsidR="00F51371">
        <w:t>s</w:t>
      </w:r>
    </w:p>
    <w:p w14:paraId="78B3F70D" w14:textId="2BE60279" w:rsidR="00FA3985" w:rsidRPr="008D7195" w:rsidRDefault="00FA3985" w:rsidP="00416279">
      <w:pPr>
        <w:pStyle w:val="ListParagraph"/>
        <w:numPr>
          <w:ilvl w:val="0"/>
          <w:numId w:val="4"/>
        </w:numPr>
        <w:rPr>
          <w:rFonts w:ascii="Times New Roman" w:hAnsi="Times New Roman" w:cs="Times New Roman"/>
          <w:sz w:val="20"/>
          <w:szCs w:val="20"/>
        </w:rPr>
      </w:pPr>
      <w:r w:rsidRPr="00FA3985">
        <w:rPr>
          <w:rFonts w:ascii="Times New Roman" w:hAnsi="Times New Roman" w:cs="Times New Roman"/>
          <w:sz w:val="20"/>
          <w:szCs w:val="20"/>
        </w:rPr>
        <w:t>R2-2403106</w:t>
      </w:r>
      <w:r w:rsidRPr="00FA3985">
        <w:rPr>
          <w:rFonts w:ascii="Times New Roman" w:hAnsi="Times New Roman" w:cs="Times New Roman"/>
          <w:sz w:val="20"/>
          <w:szCs w:val="20"/>
        </w:rPr>
        <w:tab/>
        <w:t>Clarification for UE capability for 2Rx XR</w:t>
      </w:r>
      <w:r w:rsidRPr="00FA3985">
        <w:rPr>
          <w:rFonts w:ascii="Times New Roman" w:hAnsi="Times New Roman" w:cs="Times New Roman"/>
          <w:sz w:val="20"/>
          <w:szCs w:val="20"/>
        </w:rPr>
        <w:tab/>
        <w:t>Huawei, HiSilicon</w:t>
      </w:r>
    </w:p>
    <w:p w14:paraId="321FAEE0" w14:textId="57165CFA" w:rsidR="00046CD6" w:rsidRDefault="00462BB4" w:rsidP="00416279">
      <w:pPr>
        <w:pStyle w:val="ListParagraph"/>
        <w:numPr>
          <w:ilvl w:val="0"/>
          <w:numId w:val="4"/>
        </w:numPr>
        <w:rPr>
          <w:rFonts w:ascii="Times New Roman" w:hAnsi="Times New Roman" w:cs="Times New Roman"/>
          <w:sz w:val="20"/>
          <w:szCs w:val="20"/>
        </w:rPr>
      </w:pPr>
      <w:r w:rsidRPr="00462BB4">
        <w:rPr>
          <w:rFonts w:ascii="Times New Roman" w:hAnsi="Times New Roman" w:cs="Times New Roman"/>
          <w:sz w:val="20"/>
          <w:szCs w:val="20"/>
        </w:rPr>
        <w:t>R2-2405646</w:t>
      </w:r>
      <w:r>
        <w:rPr>
          <w:rFonts w:ascii="Times New Roman" w:hAnsi="Times New Roman" w:cs="Times New Roman"/>
          <w:sz w:val="20"/>
          <w:szCs w:val="20"/>
        </w:rPr>
        <w:tab/>
      </w:r>
      <w:r w:rsidRPr="00462BB4">
        <w:rPr>
          <w:rFonts w:ascii="Times New Roman" w:hAnsi="Times New Roman" w:cs="Times New Roman"/>
          <w:sz w:val="20"/>
          <w:szCs w:val="20"/>
        </w:rPr>
        <w:t>Correction for cell barring for 2Rx XR UE [2Rx_XR_Device]</w:t>
      </w:r>
      <w:r>
        <w:rPr>
          <w:rFonts w:ascii="Times New Roman" w:hAnsi="Times New Roman" w:cs="Times New Roman"/>
          <w:sz w:val="20"/>
          <w:szCs w:val="20"/>
        </w:rPr>
        <w:tab/>
      </w:r>
      <w:r w:rsidRPr="00FA3985">
        <w:rPr>
          <w:rFonts w:ascii="Times New Roman" w:hAnsi="Times New Roman" w:cs="Times New Roman"/>
          <w:sz w:val="20"/>
          <w:szCs w:val="20"/>
        </w:rPr>
        <w:t>Huawei, HiSilicon</w:t>
      </w:r>
    </w:p>
    <w:p w14:paraId="0FF9B82B" w14:textId="2FE83FD9" w:rsidR="00880119" w:rsidRDefault="00880119" w:rsidP="00416279">
      <w:pPr>
        <w:pStyle w:val="ListParagraph"/>
        <w:numPr>
          <w:ilvl w:val="0"/>
          <w:numId w:val="4"/>
        </w:numPr>
        <w:rPr>
          <w:rFonts w:ascii="Times New Roman" w:hAnsi="Times New Roman" w:cs="Times New Roman"/>
          <w:sz w:val="20"/>
          <w:szCs w:val="20"/>
        </w:rPr>
      </w:pPr>
      <w:r w:rsidRPr="00880119">
        <w:rPr>
          <w:rFonts w:ascii="Times New Roman" w:hAnsi="Times New Roman" w:cs="Times New Roman"/>
          <w:sz w:val="20"/>
          <w:szCs w:val="20"/>
        </w:rPr>
        <w:t>R2-2403382</w:t>
      </w:r>
      <w:r w:rsidRPr="00880119">
        <w:rPr>
          <w:rFonts w:ascii="Times New Roman" w:hAnsi="Times New Roman" w:cs="Times New Roman"/>
          <w:sz w:val="20"/>
          <w:szCs w:val="20"/>
        </w:rPr>
        <w:tab/>
        <w:t>38331_Correction for the selected band for 2RX XR UE capability checking</w:t>
      </w:r>
      <w:r w:rsidRPr="00880119">
        <w:rPr>
          <w:rFonts w:ascii="Times New Roman" w:hAnsi="Times New Roman" w:cs="Times New Roman"/>
          <w:sz w:val="20"/>
          <w:szCs w:val="20"/>
        </w:rPr>
        <w:tab/>
        <w:t>Xiaomi Communications</w:t>
      </w:r>
    </w:p>
    <w:p w14:paraId="7BE633CE" w14:textId="3CEB133B" w:rsidR="00514BCB" w:rsidRPr="008D7195" w:rsidRDefault="00514BCB" w:rsidP="00416279">
      <w:pPr>
        <w:pStyle w:val="ListParagraph"/>
        <w:numPr>
          <w:ilvl w:val="0"/>
          <w:numId w:val="4"/>
        </w:numPr>
        <w:rPr>
          <w:rFonts w:ascii="Times New Roman" w:hAnsi="Times New Roman" w:cs="Times New Roman"/>
          <w:sz w:val="20"/>
          <w:szCs w:val="20"/>
        </w:rPr>
      </w:pPr>
      <w:r w:rsidRPr="00514BCB">
        <w:rPr>
          <w:rFonts w:ascii="Times New Roman" w:hAnsi="Times New Roman" w:cs="Times New Roman"/>
          <w:sz w:val="20"/>
          <w:szCs w:val="20"/>
        </w:rPr>
        <w:t>RP-234015</w:t>
      </w:r>
      <w:r>
        <w:rPr>
          <w:rFonts w:ascii="Times New Roman" w:hAnsi="Times New Roman" w:cs="Times New Roman"/>
          <w:sz w:val="20"/>
          <w:szCs w:val="20"/>
        </w:rPr>
        <w:tab/>
      </w:r>
      <w:r w:rsidR="00BE305E">
        <w:rPr>
          <w:rFonts w:ascii="Times New Roman" w:hAnsi="Times New Roman" w:cs="Times New Roman"/>
          <w:sz w:val="20"/>
          <w:szCs w:val="20"/>
        </w:rPr>
        <w:tab/>
      </w:r>
      <w:r w:rsidRPr="00514BCB">
        <w:rPr>
          <w:rFonts w:ascii="Times New Roman" w:hAnsi="Times New Roman" w:cs="Times New Roman"/>
          <w:sz w:val="20"/>
          <w:szCs w:val="20"/>
        </w:rPr>
        <w:t>Summary of offline session on 2Rx for XR</w:t>
      </w:r>
      <w:r>
        <w:rPr>
          <w:rFonts w:ascii="Times New Roman" w:hAnsi="Times New Roman" w:cs="Times New Roman"/>
          <w:sz w:val="20"/>
          <w:szCs w:val="20"/>
        </w:rPr>
        <w:tab/>
      </w:r>
      <w:r w:rsidRPr="00514BCB">
        <w:rPr>
          <w:rFonts w:ascii="Times New Roman" w:hAnsi="Times New Roman" w:cs="Times New Roman"/>
          <w:sz w:val="20"/>
          <w:szCs w:val="20"/>
        </w:rPr>
        <w:t>Offline session moderator (Nokia)</w:t>
      </w:r>
    </w:p>
    <w:sectPr w:rsidR="00514BCB" w:rsidRPr="008D7195" w:rsidSect="00557F1D">
      <w:headerReference w:type="default" r:id="rId9"/>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CB769" w16cex:dateUtc="2024-08-06T12:53:00Z"/>
  <w16cex:commentExtensible w16cex:durableId="2A5C6BA5" w16cex:dateUtc="2024-08-06T07:30:00Z"/>
  <w16cex:commentExtensible w16cex:durableId="2A5CB7D4" w16cex:dateUtc="2024-08-06T12:55:00Z"/>
  <w16cex:commentExtensible w16cex:durableId="2A5CB827" w16cex:dateUtc="2024-08-06T12:56:00Z"/>
  <w16cex:commentExtensible w16cex:durableId="2A5CBC30" w16cex:dateUtc="2024-08-06T13:13:00Z"/>
  <w16cex:commentExtensible w16cex:durableId="2A5CB915" w16cex:dateUtc="2024-08-06T13:0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F0276" w14:textId="77777777" w:rsidR="002415E2" w:rsidRDefault="002415E2">
      <w:r>
        <w:separator/>
      </w:r>
    </w:p>
  </w:endnote>
  <w:endnote w:type="continuationSeparator" w:id="0">
    <w:p w14:paraId="6560A7F3" w14:textId="77777777" w:rsidR="002415E2" w:rsidRDefault="00241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6C5F2" w14:textId="77777777" w:rsidR="002415E2" w:rsidRDefault="002415E2">
      <w:r>
        <w:separator/>
      </w:r>
    </w:p>
  </w:footnote>
  <w:footnote w:type="continuationSeparator" w:id="0">
    <w:p w14:paraId="1F7BE656" w14:textId="77777777" w:rsidR="002415E2" w:rsidRDefault="00241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EE5A95" w:rsidRDefault="00EE5A9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4"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num w:numId="1">
    <w:abstractNumId w:val="0"/>
  </w:num>
  <w:num w:numId="2">
    <w:abstractNumId w:val="3"/>
  </w:num>
  <w:num w:numId="3">
    <w:abstractNumId w:val="7"/>
  </w:num>
  <w:num w:numId="4">
    <w:abstractNumId w:val="6"/>
  </w:num>
  <w:num w:numId="5">
    <w:abstractNumId w:val="4"/>
  </w:num>
  <w:num w:numId="6">
    <w:abstractNumId w:val="5"/>
  </w:num>
  <w:num w:numId="7">
    <w:abstractNumId w:val="2"/>
  </w:num>
  <w:num w:numId="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64CD"/>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25FA"/>
    <w:rsid w:val="00042C9A"/>
    <w:rsid w:val="00043882"/>
    <w:rsid w:val="00043912"/>
    <w:rsid w:val="00043986"/>
    <w:rsid w:val="000448CC"/>
    <w:rsid w:val="00044C61"/>
    <w:rsid w:val="00044F33"/>
    <w:rsid w:val="00046908"/>
    <w:rsid w:val="00046B14"/>
    <w:rsid w:val="00046BCB"/>
    <w:rsid w:val="00046CD6"/>
    <w:rsid w:val="00047025"/>
    <w:rsid w:val="000474BB"/>
    <w:rsid w:val="00050B1C"/>
    <w:rsid w:val="00050F8F"/>
    <w:rsid w:val="0005167C"/>
    <w:rsid w:val="00053161"/>
    <w:rsid w:val="00053B45"/>
    <w:rsid w:val="0005517D"/>
    <w:rsid w:val="00055322"/>
    <w:rsid w:val="00055585"/>
    <w:rsid w:val="000557E6"/>
    <w:rsid w:val="00056175"/>
    <w:rsid w:val="00056419"/>
    <w:rsid w:val="0005666E"/>
    <w:rsid w:val="0005728E"/>
    <w:rsid w:val="00060571"/>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4305"/>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710C"/>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604"/>
    <w:rsid w:val="000E7719"/>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9FE"/>
    <w:rsid w:val="00106A45"/>
    <w:rsid w:val="00106F73"/>
    <w:rsid w:val="00107586"/>
    <w:rsid w:val="00107B37"/>
    <w:rsid w:val="00110651"/>
    <w:rsid w:val="00110C6B"/>
    <w:rsid w:val="00112E84"/>
    <w:rsid w:val="001132F6"/>
    <w:rsid w:val="0011339B"/>
    <w:rsid w:val="00113A60"/>
    <w:rsid w:val="00113B77"/>
    <w:rsid w:val="00114712"/>
    <w:rsid w:val="00114970"/>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412C"/>
    <w:rsid w:val="00134B8B"/>
    <w:rsid w:val="00134D65"/>
    <w:rsid w:val="00134F97"/>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D43"/>
    <w:rsid w:val="00146246"/>
    <w:rsid w:val="00146A94"/>
    <w:rsid w:val="00146D37"/>
    <w:rsid w:val="001471FF"/>
    <w:rsid w:val="001475A0"/>
    <w:rsid w:val="00147B71"/>
    <w:rsid w:val="00150AD1"/>
    <w:rsid w:val="00150B6E"/>
    <w:rsid w:val="00150EF5"/>
    <w:rsid w:val="00151F17"/>
    <w:rsid w:val="00151FA4"/>
    <w:rsid w:val="00152550"/>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B22"/>
    <w:rsid w:val="00183BE0"/>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76D8"/>
    <w:rsid w:val="001978EE"/>
    <w:rsid w:val="00197DDA"/>
    <w:rsid w:val="001A004A"/>
    <w:rsid w:val="001A022C"/>
    <w:rsid w:val="001A0912"/>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6150"/>
    <w:rsid w:val="001A6DD3"/>
    <w:rsid w:val="001A7B60"/>
    <w:rsid w:val="001B0CF0"/>
    <w:rsid w:val="001B0D85"/>
    <w:rsid w:val="001B0F05"/>
    <w:rsid w:val="001B188E"/>
    <w:rsid w:val="001B2A55"/>
    <w:rsid w:val="001B38C2"/>
    <w:rsid w:val="001B4002"/>
    <w:rsid w:val="001B4222"/>
    <w:rsid w:val="001B4658"/>
    <w:rsid w:val="001B469F"/>
    <w:rsid w:val="001B4999"/>
    <w:rsid w:val="001B4DDB"/>
    <w:rsid w:val="001B7A65"/>
    <w:rsid w:val="001C0C85"/>
    <w:rsid w:val="001C3BAA"/>
    <w:rsid w:val="001C3C9C"/>
    <w:rsid w:val="001C3CBE"/>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759"/>
    <w:rsid w:val="0020298B"/>
    <w:rsid w:val="002031ED"/>
    <w:rsid w:val="0020350C"/>
    <w:rsid w:val="002039D2"/>
    <w:rsid w:val="00203EDF"/>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4706"/>
    <w:rsid w:val="00216D90"/>
    <w:rsid w:val="00216F1A"/>
    <w:rsid w:val="00217FC7"/>
    <w:rsid w:val="0022010C"/>
    <w:rsid w:val="00220769"/>
    <w:rsid w:val="002213BD"/>
    <w:rsid w:val="0022144B"/>
    <w:rsid w:val="00222299"/>
    <w:rsid w:val="00222684"/>
    <w:rsid w:val="00222E9C"/>
    <w:rsid w:val="00223127"/>
    <w:rsid w:val="002234EA"/>
    <w:rsid w:val="00223625"/>
    <w:rsid w:val="00223811"/>
    <w:rsid w:val="0022396D"/>
    <w:rsid w:val="00223EBF"/>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5E2"/>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ABE"/>
    <w:rsid w:val="002577A5"/>
    <w:rsid w:val="0026004D"/>
    <w:rsid w:val="002603A1"/>
    <w:rsid w:val="00260DC7"/>
    <w:rsid w:val="00261222"/>
    <w:rsid w:val="00261F24"/>
    <w:rsid w:val="0026216C"/>
    <w:rsid w:val="00262722"/>
    <w:rsid w:val="00263196"/>
    <w:rsid w:val="0026328F"/>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EA7"/>
    <w:rsid w:val="00281203"/>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7198"/>
    <w:rsid w:val="002C7E24"/>
    <w:rsid w:val="002D05B1"/>
    <w:rsid w:val="002D0DFC"/>
    <w:rsid w:val="002D1EDE"/>
    <w:rsid w:val="002D277E"/>
    <w:rsid w:val="002D2A14"/>
    <w:rsid w:val="002D2C6F"/>
    <w:rsid w:val="002D3442"/>
    <w:rsid w:val="002D3C66"/>
    <w:rsid w:val="002D3CD4"/>
    <w:rsid w:val="002D3DC2"/>
    <w:rsid w:val="002D47FD"/>
    <w:rsid w:val="002D47FF"/>
    <w:rsid w:val="002D4BDE"/>
    <w:rsid w:val="002D4E39"/>
    <w:rsid w:val="002D5C28"/>
    <w:rsid w:val="002D639E"/>
    <w:rsid w:val="002D67AC"/>
    <w:rsid w:val="002D6892"/>
    <w:rsid w:val="002D6D61"/>
    <w:rsid w:val="002D7648"/>
    <w:rsid w:val="002E0C86"/>
    <w:rsid w:val="002E1F96"/>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5F04"/>
    <w:rsid w:val="00316037"/>
    <w:rsid w:val="003162C2"/>
    <w:rsid w:val="00316C7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17DE"/>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7815"/>
    <w:rsid w:val="00367A7C"/>
    <w:rsid w:val="00367BA3"/>
    <w:rsid w:val="003701D4"/>
    <w:rsid w:val="00370572"/>
    <w:rsid w:val="003705B6"/>
    <w:rsid w:val="003713A0"/>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801C3"/>
    <w:rsid w:val="00380304"/>
    <w:rsid w:val="00380E43"/>
    <w:rsid w:val="0038131E"/>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759"/>
    <w:rsid w:val="00393811"/>
    <w:rsid w:val="00394E02"/>
    <w:rsid w:val="003956FB"/>
    <w:rsid w:val="003958BA"/>
    <w:rsid w:val="00395CF6"/>
    <w:rsid w:val="00395E68"/>
    <w:rsid w:val="0039637E"/>
    <w:rsid w:val="00397214"/>
    <w:rsid w:val="003A078C"/>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911"/>
    <w:rsid w:val="003B30DF"/>
    <w:rsid w:val="003B3597"/>
    <w:rsid w:val="003B41DC"/>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344D"/>
    <w:rsid w:val="003C3A2B"/>
    <w:rsid w:val="003C3D6C"/>
    <w:rsid w:val="003C4679"/>
    <w:rsid w:val="003C540B"/>
    <w:rsid w:val="003C5484"/>
    <w:rsid w:val="003C553E"/>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A8E"/>
    <w:rsid w:val="003F40DA"/>
    <w:rsid w:val="003F43F6"/>
    <w:rsid w:val="003F448E"/>
    <w:rsid w:val="003F46A1"/>
    <w:rsid w:val="003F4893"/>
    <w:rsid w:val="003F49BA"/>
    <w:rsid w:val="003F6A1C"/>
    <w:rsid w:val="004001E0"/>
    <w:rsid w:val="00400612"/>
    <w:rsid w:val="00400CC4"/>
    <w:rsid w:val="00401A3B"/>
    <w:rsid w:val="0040277F"/>
    <w:rsid w:val="00403C2B"/>
    <w:rsid w:val="004049AD"/>
    <w:rsid w:val="00404DE3"/>
    <w:rsid w:val="0040513C"/>
    <w:rsid w:val="00405C2A"/>
    <w:rsid w:val="00406251"/>
    <w:rsid w:val="0040642E"/>
    <w:rsid w:val="00406789"/>
    <w:rsid w:val="00406BBE"/>
    <w:rsid w:val="00407462"/>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63C"/>
    <w:rsid w:val="00444A79"/>
    <w:rsid w:val="00444A9E"/>
    <w:rsid w:val="00444EDF"/>
    <w:rsid w:val="00445196"/>
    <w:rsid w:val="00445587"/>
    <w:rsid w:val="0044589A"/>
    <w:rsid w:val="00445D18"/>
    <w:rsid w:val="00446869"/>
    <w:rsid w:val="004474A8"/>
    <w:rsid w:val="004500DC"/>
    <w:rsid w:val="00450C07"/>
    <w:rsid w:val="00450F6C"/>
    <w:rsid w:val="00452415"/>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BB4"/>
    <w:rsid w:val="00462C07"/>
    <w:rsid w:val="00462E76"/>
    <w:rsid w:val="00463331"/>
    <w:rsid w:val="00463A33"/>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7F95"/>
    <w:rsid w:val="00480F8C"/>
    <w:rsid w:val="004818EA"/>
    <w:rsid w:val="0048193F"/>
    <w:rsid w:val="00481AD1"/>
    <w:rsid w:val="00482056"/>
    <w:rsid w:val="004824B0"/>
    <w:rsid w:val="00482DBD"/>
    <w:rsid w:val="00482EC8"/>
    <w:rsid w:val="00483084"/>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A0B8D"/>
    <w:rsid w:val="004A0D02"/>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F7E"/>
    <w:rsid w:val="00501632"/>
    <w:rsid w:val="005016CB"/>
    <w:rsid w:val="005024C9"/>
    <w:rsid w:val="0050374A"/>
    <w:rsid w:val="00503A59"/>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70C6"/>
    <w:rsid w:val="00520105"/>
    <w:rsid w:val="00520A08"/>
    <w:rsid w:val="00520D29"/>
    <w:rsid w:val="00521B89"/>
    <w:rsid w:val="005225D9"/>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304B8"/>
    <w:rsid w:val="005307A3"/>
    <w:rsid w:val="00530F31"/>
    <w:rsid w:val="00531170"/>
    <w:rsid w:val="005318F4"/>
    <w:rsid w:val="00531EA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402A4"/>
    <w:rsid w:val="0054065C"/>
    <w:rsid w:val="00540A38"/>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57F1D"/>
    <w:rsid w:val="00560762"/>
    <w:rsid w:val="00560C66"/>
    <w:rsid w:val="00561D32"/>
    <w:rsid w:val="0056316E"/>
    <w:rsid w:val="0056363E"/>
    <w:rsid w:val="00563677"/>
    <w:rsid w:val="00564892"/>
    <w:rsid w:val="005666A1"/>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5F3"/>
    <w:rsid w:val="00590EDE"/>
    <w:rsid w:val="0059248F"/>
    <w:rsid w:val="0059289D"/>
    <w:rsid w:val="00592C0A"/>
    <w:rsid w:val="00592D74"/>
    <w:rsid w:val="005948D8"/>
    <w:rsid w:val="00594A76"/>
    <w:rsid w:val="005972B2"/>
    <w:rsid w:val="00597E01"/>
    <w:rsid w:val="005A02E4"/>
    <w:rsid w:val="005A0F2F"/>
    <w:rsid w:val="005A11C3"/>
    <w:rsid w:val="005A1235"/>
    <w:rsid w:val="005A1DC8"/>
    <w:rsid w:val="005A2472"/>
    <w:rsid w:val="005A2DA4"/>
    <w:rsid w:val="005A2EDF"/>
    <w:rsid w:val="005A3025"/>
    <w:rsid w:val="005A31AC"/>
    <w:rsid w:val="005A3445"/>
    <w:rsid w:val="005A3EB2"/>
    <w:rsid w:val="005A3FE2"/>
    <w:rsid w:val="005A4A55"/>
    <w:rsid w:val="005A4E18"/>
    <w:rsid w:val="005A53CF"/>
    <w:rsid w:val="005A57B7"/>
    <w:rsid w:val="005A5D91"/>
    <w:rsid w:val="005A6227"/>
    <w:rsid w:val="005A6985"/>
    <w:rsid w:val="005A7403"/>
    <w:rsid w:val="005A77C9"/>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DF1"/>
    <w:rsid w:val="005C01C2"/>
    <w:rsid w:val="005C047B"/>
    <w:rsid w:val="005C10C7"/>
    <w:rsid w:val="005C19B9"/>
    <w:rsid w:val="005C1FD3"/>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430"/>
    <w:rsid w:val="005E1CBD"/>
    <w:rsid w:val="005E2127"/>
    <w:rsid w:val="005E2620"/>
    <w:rsid w:val="005E2C44"/>
    <w:rsid w:val="005E392E"/>
    <w:rsid w:val="005E41A3"/>
    <w:rsid w:val="005E4DB2"/>
    <w:rsid w:val="005E5B19"/>
    <w:rsid w:val="005E5E6A"/>
    <w:rsid w:val="005E63B3"/>
    <w:rsid w:val="005E64B7"/>
    <w:rsid w:val="005E64BC"/>
    <w:rsid w:val="005E67A5"/>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85B"/>
    <w:rsid w:val="00682E9B"/>
    <w:rsid w:val="006833AB"/>
    <w:rsid w:val="0068382A"/>
    <w:rsid w:val="00684AC2"/>
    <w:rsid w:val="00684C40"/>
    <w:rsid w:val="00685595"/>
    <w:rsid w:val="00685CAD"/>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C44"/>
    <w:rsid w:val="006B46FB"/>
    <w:rsid w:val="006B4D7A"/>
    <w:rsid w:val="006B5C13"/>
    <w:rsid w:val="006B63AA"/>
    <w:rsid w:val="006B68A1"/>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544D"/>
    <w:rsid w:val="006F6797"/>
    <w:rsid w:val="006F6EC6"/>
    <w:rsid w:val="006F6ED0"/>
    <w:rsid w:val="006F7177"/>
    <w:rsid w:val="006F75B0"/>
    <w:rsid w:val="006F79B5"/>
    <w:rsid w:val="006F7C18"/>
    <w:rsid w:val="00700353"/>
    <w:rsid w:val="00700700"/>
    <w:rsid w:val="007007B4"/>
    <w:rsid w:val="0070081F"/>
    <w:rsid w:val="007008D4"/>
    <w:rsid w:val="00701958"/>
    <w:rsid w:val="00701B30"/>
    <w:rsid w:val="00701F04"/>
    <w:rsid w:val="00703081"/>
    <w:rsid w:val="007035CE"/>
    <w:rsid w:val="00704601"/>
    <w:rsid w:val="00705665"/>
    <w:rsid w:val="00706417"/>
    <w:rsid w:val="0070668F"/>
    <w:rsid w:val="007072CB"/>
    <w:rsid w:val="007101EE"/>
    <w:rsid w:val="0071085B"/>
    <w:rsid w:val="00710ADB"/>
    <w:rsid w:val="00710C01"/>
    <w:rsid w:val="00711115"/>
    <w:rsid w:val="00711781"/>
    <w:rsid w:val="00712035"/>
    <w:rsid w:val="007126EC"/>
    <w:rsid w:val="007130AF"/>
    <w:rsid w:val="007130E5"/>
    <w:rsid w:val="0071333B"/>
    <w:rsid w:val="00713962"/>
    <w:rsid w:val="007149FF"/>
    <w:rsid w:val="00716936"/>
    <w:rsid w:val="00716A64"/>
    <w:rsid w:val="007170B4"/>
    <w:rsid w:val="007200DB"/>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2847"/>
    <w:rsid w:val="0074379F"/>
    <w:rsid w:val="00743A88"/>
    <w:rsid w:val="00744A0C"/>
    <w:rsid w:val="00745E9F"/>
    <w:rsid w:val="00746CF7"/>
    <w:rsid w:val="00746D82"/>
    <w:rsid w:val="0075087A"/>
    <w:rsid w:val="00750AA5"/>
    <w:rsid w:val="00751327"/>
    <w:rsid w:val="00751626"/>
    <w:rsid w:val="007519F9"/>
    <w:rsid w:val="007528F7"/>
    <w:rsid w:val="00753423"/>
    <w:rsid w:val="00753640"/>
    <w:rsid w:val="00753BE5"/>
    <w:rsid w:val="00753C53"/>
    <w:rsid w:val="00754288"/>
    <w:rsid w:val="007542C2"/>
    <w:rsid w:val="00755767"/>
    <w:rsid w:val="00755F7D"/>
    <w:rsid w:val="00756293"/>
    <w:rsid w:val="007566AF"/>
    <w:rsid w:val="00756DD4"/>
    <w:rsid w:val="00756E00"/>
    <w:rsid w:val="00757022"/>
    <w:rsid w:val="00757BD5"/>
    <w:rsid w:val="00757E74"/>
    <w:rsid w:val="00757FFB"/>
    <w:rsid w:val="00761591"/>
    <w:rsid w:val="007616C6"/>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F60"/>
    <w:rsid w:val="00767F14"/>
    <w:rsid w:val="007703AB"/>
    <w:rsid w:val="0077045D"/>
    <w:rsid w:val="007707E4"/>
    <w:rsid w:val="00770947"/>
    <w:rsid w:val="00770991"/>
    <w:rsid w:val="0077164D"/>
    <w:rsid w:val="0077180B"/>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6154"/>
    <w:rsid w:val="007E628C"/>
    <w:rsid w:val="007E6351"/>
    <w:rsid w:val="007E66AD"/>
    <w:rsid w:val="007E755F"/>
    <w:rsid w:val="007E756B"/>
    <w:rsid w:val="007F0928"/>
    <w:rsid w:val="007F0A44"/>
    <w:rsid w:val="007F16A1"/>
    <w:rsid w:val="007F1A74"/>
    <w:rsid w:val="007F23FE"/>
    <w:rsid w:val="007F2555"/>
    <w:rsid w:val="007F35F9"/>
    <w:rsid w:val="007F3B84"/>
    <w:rsid w:val="007F3E5F"/>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6E60"/>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984"/>
    <w:rsid w:val="00853BA6"/>
    <w:rsid w:val="00853D5D"/>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546A"/>
    <w:rsid w:val="00866A17"/>
    <w:rsid w:val="00866A49"/>
    <w:rsid w:val="00866B90"/>
    <w:rsid w:val="00866DAC"/>
    <w:rsid w:val="00867497"/>
    <w:rsid w:val="008678AB"/>
    <w:rsid w:val="0087018F"/>
    <w:rsid w:val="00870229"/>
    <w:rsid w:val="00870BAA"/>
    <w:rsid w:val="00870CCB"/>
    <w:rsid w:val="00870EE7"/>
    <w:rsid w:val="00871455"/>
    <w:rsid w:val="00871AA2"/>
    <w:rsid w:val="00871C00"/>
    <w:rsid w:val="00872AF6"/>
    <w:rsid w:val="0087349B"/>
    <w:rsid w:val="00874164"/>
    <w:rsid w:val="00875530"/>
    <w:rsid w:val="0087568A"/>
    <w:rsid w:val="008766D5"/>
    <w:rsid w:val="0087708B"/>
    <w:rsid w:val="00877B71"/>
    <w:rsid w:val="00877F11"/>
    <w:rsid w:val="00877F22"/>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C78"/>
    <w:rsid w:val="008C3E92"/>
    <w:rsid w:val="008C483F"/>
    <w:rsid w:val="008C514D"/>
    <w:rsid w:val="008C5AE5"/>
    <w:rsid w:val="008C5C0D"/>
    <w:rsid w:val="008C5F09"/>
    <w:rsid w:val="008C600F"/>
    <w:rsid w:val="008C6564"/>
    <w:rsid w:val="008C729E"/>
    <w:rsid w:val="008C750B"/>
    <w:rsid w:val="008C7F37"/>
    <w:rsid w:val="008D0D2F"/>
    <w:rsid w:val="008D2AC3"/>
    <w:rsid w:val="008D3F9D"/>
    <w:rsid w:val="008D40F3"/>
    <w:rsid w:val="008D484A"/>
    <w:rsid w:val="008D506B"/>
    <w:rsid w:val="008D5254"/>
    <w:rsid w:val="008D5496"/>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21CA"/>
    <w:rsid w:val="009230BB"/>
    <w:rsid w:val="00923D35"/>
    <w:rsid w:val="009240C3"/>
    <w:rsid w:val="0092496A"/>
    <w:rsid w:val="00924EE4"/>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40967"/>
    <w:rsid w:val="009414C1"/>
    <w:rsid w:val="009420F2"/>
    <w:rsid w:val="00942116"/>
    <w:rsid w:val="0094241A"/>
    <w:rsid w:val="00942F69"/>
    <w:rsid w:val="00943A3D"/>
    <w:rsid w:val="009454D8"/>
    <w:rsid w:val="0094650E"/>
    <w:rsid w:val="0094679D"/>
    <w:rsid w:val="009505C2"/>
    <w:rsid w:val="009507F7"/>
    <w:rsid w:val="00950CA0"/>
    <w:rsid w:val="00950F62"/>
    <w:rsid w:val="0095111C"/>
    <w:rsid w:val="0095165F"/>
    <w:rsid w:val="00951A1C"/>
    <w:rsid w:val="00951FE1"/>
    <w:rsid w:val="009525FB"/>
    <w:rsid w:val="00952A39"/>
    <w:rsid w:val="00952FFD"/>
    <w:rsid w:val="00953688"/>
    <w:rsid w:val="009543B4"/>
    <w:rsid w:val="00954449"/>
    <w:rsid w:val="00955E2A"/>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57C1"/>
    <w:rsid w:val="00966B2F"/>
    <w:rsid w:val="0096783B"/>
    <w:rsid w:val="0097071D"/>
    <w:rsid w:val="0097079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5999"/>
    <w:rsid w:val="00995A58"/>
    <w:rsid w:val="009964F2"/>
    <w:rsid w:val="009965B0"/>
    <w:rsid w:val="0099668F"/>
    <w:rsid w:val="00996846"/>
    <w:rsid w:val="00996BF2"/>
    <w:rsid w:val="009971BF"/>
    <w:rsid w:val="009977EF"/>
    <w:rsid w:val="009979B0"/>
    <w:rsid w:val="00997CB9"/>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114"/>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DA2"/>
    <w:rsid w:val="00A423DD"/>
    <w:rsid w:val="00A42497"/>
    <w:rsid w:val="00A425F0"/>
    <w:rsid w:val="00A427DA"/>
    <w:rsid w:val="00A429AA"/>
    <w:rsid w:val="00A4303B"/>
    <w:rsid w:val="00A430A5"/>
    <w:rsid w:val="00A44018"/>
    <w:rsid w:val="00A44271"/>
    <w:rsid w:val="00A45979"/>
    <w:rsid w:val="00A45DC7"/>
    <w:rsid w:val="00A45DF1"/>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E3C"/>
    <w:rsid w:val="00AA2007"/>
    <w:rsid w:val="00AA2B32"/>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C5C"/>
    <w:rsid w:val="00AB7DED"/>
    <w:rsid w:val="00AB7DF0"/>
    <w:rsid w:val="00AB7F6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E02A7"/>
    <w:rsid w:val="00AE0A38"/>
    <w:rsid w:val="00AE0C85"/>
    <w:rsid w:val="00AE1B79"/>
    <w:rsid w:val="00AE2639"/>
    <w:rsid w:val="00AE28CA"/>
    <w:rsid w:val="00AE29B5"/>
    <w:rsid w:val="00AE2F8C"/>
    <w:rsid w:val="00AE3D16"/>
    <w:rsid w:val="00AE40D0"/>
    <w:rsid w:val="00AE47EB"/>
    <w:rsid w:val="00AE5754"/>
    <w:rsid w:val="00AE5954"/>
    <w:rsid w:val="00AE5B80"/>
    <w:rsid w:val="00AE6808"/>
    <w:rsid w:val="00AE749F"/>
    <w:rsid w:val="00AE78FA"/>
    <w:rsid w:val="00AE7D4F"/>
    <w:rsid w:val="00AF0494"/>
    <w:rsid w:val="00AF0B4B"/>
    <w:rsid w:val="00AF143B"/>
    <w:rsid w:val="00AF17E3"/>
    <w:rsid w:val="00AF23E0"/>
    <w:rsid w:val="00AF2D55"/>
    <w:rsid w:val="00AF35A2"/>
    <w:rsid w:val="00AF3CFF"/>
    <w:rsid w:val="00AF3DD6"/>
    <w:rsid w:val="00AF4E2A"/>
    <w:rsid w:val="00AF587E"/>
    <w:rsid w:val="00AF6297"/>
    <w:rsid w:val="00AF62DF"/>
    <w:rsid w:val="00AF6579"/>
    <w:rsid w:val="00AF6988"/>
    <w:rsid w:val="00AF7428"/>
    <w:rsid w:val="00AF758A"/>
    <w:rsid w:val="00AF7B56"/>
    <w:rsid w:val="00AF7D37"/>
    <w:rsid w:val="00B01B49"/>
    <w:rsid w:val="00B0268C"/>
    <w:rsid w:val="00B029EA"/>
    <w:rsid w:val="00B03C42"/>
    <w:rsid w:val="00B04886"/>
    <w:rsid w:val="00B05186"/>
    <w:rsid w:val="00B056CF"/>
    <w:rsid w:val="00B063C3"/>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5137"/>
    <w:rsid w:val="00B1598F"/>
    <w:rsid w:val="00B15B16"/>
    <w:rsid w:val="00B15F7D"/>
    <w:rsid w:val="00B16607"/>
    <w:rsid w:val="00B1710D"/>
    <w:rsid w:val="00B1760D"/>
    <w:rsid w:val="00B20A57"/>
    <w:rsid w:val="00B20B1A"/>
    <w:rsid w:val="00B215CD"/>
    <w:rsid w:val="00B2169B"/>
    <w:rsid w:val="00B21B0A"/>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228C"/>
    <w:rsid w:val="00B32748"/>
    <w:rsid w:val="00B33C44"/>
    <w:rsid w:val="00B3506B"/>
    <w:rsid w:val="00B351A2"/>
    <w:rsid w:val="00B36F1A"/>
    <w:rsid w:val="00B37D71"/>
    <w:rsid w:val="00B37EF1"/>
    <w:rsid w:val="00B4141E"/>
    <w:rsid w:val="00B41696"/>
    <w:rsid w:val="00B41CA7"/>
    <w:rsid w:val="00B423C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6832"/>
    <w:rsid w:val="00B57CA2"/>
    <w:rsid w:val="00B60825"/>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A7C"/>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6852"/>
    <w:rsid w:val="00B968C8"/>
    <w:rsid w:val="00B9694F"/>
    <w:rsid w:val="00B97B7E"/>
    <w:rsid w:val="00BA032D"/>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105"/>
    <w:rsid w:val="00BC6D71"/>
    <w:rsid w:val="00BD08DC"/>
    <w:rsid w:val="00BD09BA"/>
    <w:rsid w:val="00BD0BE9"/>
    <w:rsid w:val="00BD0E45"/>
    <w:rsid w:val="00BD19F1"/>
    <w:rsid w:val="00BD1F0C"/>
    <w:rsid w:val="00BD279D"/>
    <w:rsid w:val="00BD3A8F"/>
    <w:rsid w:val="00BD46F2"/>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7ED"/>
    <w:rsid w:val="00BE3E9C"/>
    <w:rsid w:val="00BE444B"/>
    <w:rsid w:val="00BE504A"/>
    <w:rsid w:val="00BE5825"/>
    <w:rsid w:val="00BE5832"/>
    <w:rsid w:val="00BE63C3"/>
    <w:rsid w:val="00BE6E47"/>
    <w:rsid w:val="00BE7069"/>
    <w:rsid w:val="00BE7440"/>
    <w:rsid w:val="00BE7836"/>
    <w:rsid w:val="00BE78C2"/>
    <w:rsid w:val="00BE7A6C"/>
    <w:rsid w:val="00BF0844"/>
    <w:rsid w:val="00BF0A1C"/>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98B"/>
    <w:rsid w:val="00C17E24"/>
    <w:rsid w:val="00C20171"/>
    <w:rsid w:val="00C2018B"/>
    <w:rsid w:val="00C20432"/>
    <w:rsid w:val="00C20F37"/>
    <w:rsid w:val="00C21441"/>
    <w:rsid w:val="00C228AD"/>
    <w:rsid w:val="00C22A16"/>
    <w:rsid w:val="00C22B1D"/>
    <w:rsid w:val="00C22E96"/>
    <w:rsid w:val="00C2357C"/>
    <w:rsid w:val="00C23641"/>
    <w:rsid w:val="00C24342"/>
    <w:rsid w:val="00C24390"/>
    <w:rsid w:val="00C24A33"/>
    <w:rsid w:val="00C24C14"/>
    <w:rsid w:val="00C25BC1"/>
    <w:rsid w:val="00C26894"/>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649"/>
    <w:rsid w:val="00C3509A"/>
    <w:rsid w:val="00C355FD"/>
    <w:rsid w:val="00C35FDD"/>
    <w:rsid w:val="00C36067"/>
    <w:rsid w:val="00C36E9C"/>
    <w:rsid w:val="00C370A9"/>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1560"/>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3CDB"/>
    <w:rsid w:val="00CA421E"/>
    <w:rsid w:val="00CA4FC7"/>
    <w:rsid w:val="00CA6114"/>
    <w:rsid w:val="00CB0A19"/>
    <w:rsid w:val="00CB186D"/>
    <w:rsid w:val="00CB1ABA"/>
    <w:rsid w:val="00CB1AFF"/>
    <w:rsid w:val="00CB1FDE"/>
    <w:rsid w:val="00CB220C"/>
    <w:rsid w:val="00CB254D"/>
    <w:rsid w:val="00CB304B"/>
    <w:rsid w:val="00CB31CA"/>
    <w:rsid w:val="00CB3F6C"/>
    <w:rsid w:val="00CB4078"/>
    <w:rsid w:val="00CB4318"/>
    <w:rsid w:val="00CB547D"/>
    <w:rsid w:val="00CB564B"/>
    <w:rsid w:val="00CB56AA"/>
    <w:rsid w:val="00CB6012"/>
    <w:rsid w:val="00CB6354"/>
    <w:rsid w:val="00CB6C13"/>
    <w:rsid w:val="00CB6EE3"/>
    <w:rsid w:val="00CC03AA"/>
    <w:rsid w:val="00CC073D"/>
    <w:rsid w:val="00CC1C26"/>
    <w:rsid w:val="00CC1C2A"/>
    <w:rsid w:val="00CC1FDD"/>
    <w:rsid w:val="00CC3DC5"/>
    <w:rsid w:val="00CC42BE"/>
    <w:rsid w:val="00CC476F"/>
    <w:rsid w:val="00CC5026"/>
    <w:rsid w:val="00CC531E"/>
    <w:rsid w:val="00CC72AC"/>
    <w:rsid w:val="00CC761C"/>
    <w:rsid w:val="00CC7F15"/>
    <w:rsid w:val="00CC7F7A"/>
    <w:rsid w:val="00CD0105"/>
    <w:rsid w:val="00CD1BD4"/>
    <w:rsid w:val="00CD22F8"/>
    <w:rsid w:val="00CD2792"/>
    <w:rsid w:val="00CD3D4C"/>
    <w:rsid w:val="00CD4AB3"/>
    <w:rsid w:val="00CD51CC"/>
    <w:rsid w:val="00CD5878"/>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CFC"/>
    <w:rsid w:val="00D00D9F"/>
    <w:rsid w:val="00D01438"/>
    <w:rsid w:val="00D01DA0"/>
    <w:rsid w:val="00D0212D"/>
    <w:rsid w:val="00D021EE"/>
    <w:rsid w:val="00D0256C"/>
    <w:rsid w:val="00D02FCF"/>
    <w:rsid w:val="00D03561"/>
    <w:rsid w:val="00D03F9A"/>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2EDD"/>
    <w:rsid w:val="00D332E5"/>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C8"/>
    <w:rsid w:val="00D5568C"/>
    <w:rsid w:val="00D55E90"/>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E"/>
    <w:rsid w:val="00D91EDF"/>
    <w:rsid w:val="00D92A7E"/>
    <w:rsid w:val="00D92E93"/>
    <w:rsid w:val="00D93B05"/>
    <w:rsid w:val="00D93C5C"/>
    <w:rsid w:val="00D94EE5"/>
    <w:rsid w:val="00D9539B"/>
    <w:rsid w:val="00D96339"/>
    <w:rsid w:val="00D96E46"/>
    <w:rsid w:val="00D9759B"/>
    <w:rsid w:val="00D977A1"/>
    <w:rsid w:val="00D979E9"/>
    <w:rsid w:val="00D97FB7"/>
    <w:rsid w:val="00DA05FD"/>
    <w:rsid w:val="00DA0DC5"/>
    <w:rsid w:val="00DA1CCC"/>
    <w:rsid w:val="00DA1CFA"/>
    <w:rsid w:val="00DA5562"/>
    <w:rsid w:val="00DA67B9"/>
    <w:rsid w:val="00DA723B"/>
    <w:rsid w:val="00DA72E7"/>
    <w:rsid w:val="00DA7C66"/>
    <w:rsid w:val="00DA7F17"/>
    <w:rsid w:val="00DB0117"/>
    <w:rsid w:val="00DB024E"/>
    <w:rsid w:val="00DB07CF"/>
    <w:rsid w:val="00DB0AE6"/>
    <w:rsid w:val="00DB1066"/>
    <w:rsid w:val="00DB146C"/>
    <w:rsid w:val="00DB1D4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10AA9"/>
    <w:rsid w:val="00E111CC"/>
    <w:rsid w:val="00E11CB2"/>
    <w:rsid w:val="00E122E8"/>
    <w:rsid w:val="00E12A58"/>
    <w:rsid w:val="00E12BD7"/>
    <w:rsid w:val="00E12DA6"/>
    <w:rsid w:val="00E13454"/>
    <w:rsid w:val="00E13F9B"/>
    <w:rsid w:val="00E146FA"/>
    <w:rsid w:val="00E15ADA"/>
    <w:rsid w:val="00E15AF4"/>
    <w:rsid w:val="00E169FF"/>
    <w:rsid w:val="00E16C1C"/>
    <w:rsid w:val="00E16C2D"/>
    <w:rsid w:val="00E20926"/>
    <w:rsid w:val="00E22033"/>
    <w:rsid w:val="00E22563"/>
    <w:rsid w:val="00E22611"/>
    <w:rsid w:val="00E22983"/>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855"/>
    <w:rsid w:val="00E45038"/>
    <w:rsid w:val="00E45186"/>
    <w:rsid w:val="00E451E5"/>
    <w:rsid w:val="00E50C3D"/>
    <w:rsid w:val="00E50F1C"/>
    <w:rsid w:val="00E511F6"/>
    <w:rsid w:val="00E51605"/>
    <w:rsid w:val="00E531A4"/>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61E5"/>
    <w:rsid w:val="00E7621B"/>
    <w:rsid w:val="00E764C9"/>
    <w:rsid w:val="00E76A8D"/>
    <w:rsid w:val="00E772F6"/>
    <w:rsid w:val="00E773CC"/>
    <w:rsid w:val="00E779BD"/>
    <w:rsid w:val="00E77BB4"/>
    <w:rsid w:val="00E800C3"/>
    <w:rsid w:val="00E80376"/>
    <w:rsid w:val="00E8050D"/>
    <w:rsid w:val="00E8065D"/>
    <w:rsid w:val="00E80726"/>
    <w:rsid w:val="00E83D9A"/>
    <w:rsid w:val="00E84107"/>
    <w:rsid w:val="00E848CA"/>
    <w:rsid w:val="00E84E31"/>
    <w:rsid w:val="00E8575A"/>
    <w:rsid w:val="00E85D29"/>
    <w:rsid w:val="00E86016"/>
    <w:rsid w:val="00E862C5"/>
    <w:rsid w:val="00E8659D"/>
    <w:rsid w:val="00E86B9F"/>
    <w:rsid w:val="00E9018C"/>
    <w:rsid w:val="00E9072B"/>
    <w:rsid w:val="00E909F5"/>
    <w:rsid w:val="00E90B02"/>
    <w:rsid w:val="00E91703"/>
    <w:rsid w:val="00E91ADA"/>
    <w:rsid w:val="00E91EE7"/>
    <w:rsid w:val="00E93ED7"/>
    <w:rsid w:val="00E943D4"/>
    <w:rsid w:val="00E94EAA"/>
    <w:rsid w:val="00E953A1"/>
    <w:rsid w:val="00E957DE"/>
    <w:rsid w:val="00E95F3D"/>
    <w:rsid w:val="00E969E2"/>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2E70"/>
    <w:rsid w:val="00EB33BC"/>
    <w:rsid w:val="00EB44CC"/>
    <w:rsid w:val="00EB5333"/>
    <w:rsid w:val="00EB5A4E"/>
    <w:rsid w:val="00EB6352"/>
    <w:rsid w:val="00EB642A"/>
    <w:rsid w:val="00EB69E8"/>
    <w:rsid w:val="00EB7121"/>
    <w:rsid w:val="00EB7703"/>
    <w:rsid w:val="00EC01C7"/>
    <w:rsid w:val="00EC04B9"/>
    <w:rsid w:val="00EC099D"/>
    <w:rsid w:val="00EC1FEE"/>
    <w:rsid w:val="00EC23DC"/>
    <w:rsid w:val="00EC355A"/>
    <w:rsid w:val="00EC3DB9"/>
    <w:rsid w:val="00EC4553"/>
    <w:rsid w:val="00EC4BBB"/>
    <w:rsid w:val="00EC55BE"/>
    <w:rsid w:val="00EC5691"/>
    <w:rsid w:val="00EC5BD6"/>
    <w:rsid w:val="00EC5EEA"/>
    <w:rsid w:val="00EC6D71"/>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6429"/>
    <w:rsid w:val="00EE68F5"/>
    <w:rsid w:val="00EE6985"/>
    <w:rsid w:val="00EE7D7C"/>
    <w:rsid w:val="00EF0422"/>
    <w:rsid w:val="00EF0784"/>
    <w:rsid w:val="00EF0B64"/>
    <w:rsid w:val="00EF160F"/>
    <w:rsid w:val="00EF1BE4"/>
    <w:rsid w:val="00EF24C0"/>
    <w:rsid w:val="00EF2945"/>
    <w:rsid w:val="00EF2EEF"/>
    <w:rsid w:val="00EF37F6"/>
    <w:rsid w:val="00EF3857"/>
    <w:rsid w:val="00EF447F"/>
    <w:rsid w:val="00EF4F35"/>
    <w:rsid w:val="00EF5139"/>
    <w:rsid w:val="00EF636F"/>
    <w:rsid w:val="00EF6C05"/>
    <w:rsid w:val="00EF7F13"/>
    <w:rsid w:val="00EF7F53"/>
    <w:rsid w:val="00F004F3"/>
    <w:rsid w:val="00F00896"/>
    <w:rsid w:val="00F00C14"/>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714"/>
    <w:rsid w:val="00F23B69"/>
    <w:rsid w:val="00F23E5D"/>
    <w:rsid w:val="00F23F70"/>
    <w:rsid w:val="00F25B0F"/>
    <w:rsid w:val="00F25D98"/>
    <w:rsid w:val="00F26486"/>
    <w:rsid w:val="00F266D9"/>
    <w:rsid w:val="00F26A74"/>
    <w:rsid w:val="00F27148"/>
    <w:rsid w:val="00F275BB"/>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FA6"/>
    <w:rsid w:val="00F55629"/>
    <w:rsid w:val="00F56292"/>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15B"/>
    <w:rsid w:val="00F725AE"/>
    <w:rsid w:val="00F72ED7"/>
    <w:rsid w:val="00F73727"/>
    <w:rsid w:val="00F7376A"/>
    <w:rsid w:val="00F742A7"/>
    <w:rsid w:val="00F745D5"/>
    <w:rsid w:val="00F75E7C"/>
    <w:rsid w:val="00F7629D"/>
    <w:rsid w:val="00F808AE"/>
    <w:rsid w:val="00F81510"/>
    <w:rsid w:val="00F825CE"/>
    <w:rsid w:val="00F83B2E"/>
    <w:rsid w:val="00F8443A"/>
    <w:rsid w:val="00F847B7"/>
    <w:rsid w:val="00F8559D"/>
    <w:rsid w:val="00F85BF5"/>
    <w:rsid w:val="00F85D31"/>
    <w:rsid w:val="00F86974"/>
    <w:rsid w:val="00F86DBF"/>
    <w:rsid w:val="00F875DD"/>
    <w:rsid w:val="00F87875"/>
    <w:rsid w:val="00F90396"/>
    <w:rsid w:val="00F90A7F"/>
    <w:rsid w:val="00F90AE0"/>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EA1"/>
    <w:rsid w:val="00FE212B"/>
    <w:rsid w:val="00FE3046"/>
    <w:rsid w:val="00FE350B"/>
    <w:rsid w:val="00FE388D"/>
    <w:rsid w:val="00FE39D3"/>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6C1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0CC69-32CB-4361-9FAB-1CF122D2D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1167</Words>
  <Characters>6657</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Dawid Koziol</cp:lastModifiedBy>
  <cp:revision>19</cp:revision>
  <dcterms:created xsi:type="dcterms:W3CDTF">2024-08-06T13:14:00Z</dcterms:created>
  <dcterms:modified xsi:type="dcterms:W3CDTF">2024-08-09T07:30:00Z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1719918824</vt:lpwstr>
  </property>
  <property fmtid="{D5CDD505-2E9C-101B-9397-08002B2CF9AE}" pid="10" name="MSIP_Label_0359f705-2ba0-454b-9cfc-6ce5bcaac040_Enabled">
    <vt:lpwstr>true</vt:lpwstr>
  </property>
  <property fmtid="{D5CDD505-2E9C-101B-9397-08002B2CF9AE}" pid="11" name="MSIP_Label_0359f705-2ba0-454b-9cfc-6ce5bcaac040_SetDate">
    <vt:lpwstr>2024-08-06T13:13:59Z</vt:lpwstr>
  </property>
  <property fmtid="{D5CDD505-2E9C-101B-9397-08002B2CF9AE}" pid="12" name="MSIP_Label_0359f705-2ba0-454b-9cfc-6ce5bcaac040_Method">
    <vt:lpwstr>Standard</vt:lpwstr>
  </property>
  <property fmtid="{D5CDD505-2E9C-101B-9397-08002B2CF9AE}" pid="13" name="MSIP_Label_0359f705-2ba0-454b-9cfc-6ce5bcaac040_Name">
    <vt:lpwstr>0359f705-2ba0-454b-9cfc-6ce5bcaac040</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ActionId">
    <vt:lpwstr>d379820a-239f-4e01-a7af-e0a0d1fda86f</vt:lpwstr>
  </property>
  <property fmtid="{D5CDD505-2E9C-101B-9397-08002B2CF9AE}" pid="16" name="MSIP_Label_0359f705-2ba0-454b-9cfc-6ce5bcaac040_ContentBits">
    <vt:lpwstr>2</vt:lpwstr>
  </property>
</Properties>
</file>